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01" w:rsidRPr="003663B9" w:rsidRDefault="002B0601" w:rsidP="00AA3F8F">
      <w:pPr>
        <w:spacing w:line="240" w:lineRule="auto"/>
        <w:contextualSpacing w:val="0"/>
        <w:rPr>
          <w:rFonts w:eastAsia="Calibri"/>
          <w:color w:val="000000" w:themeColor="text1"/>
          <w:sz w:val="26"/>
          <w:szCs w:val="26"/>
        </w:rPr>
      </w:pPr>
    </w:p>
    <w:p w:rsidR="00160819" w:rsidRPr="003663B9" w:rsidRDefault="002B0601" w:rsidP="00AA3F8F">
      <w:pPr>
        <w:spacing w:line="240" w:lineRule="auto"/>
        <w:contextualSpacing w:val="0"/>
        <w:rPr>
          <w:rFonts w:eastAsia="Calibri"/>
          <w:color w:val="000000" w:themeColor="text1"/>
          <w:sz w:val="26"/>
          <w:szCs w:val="26"/>
        </w:rPr>
      </w:pPr>
      <w:r w:rsidRPr="003663B9">
        <w:rPr>
          <w:rFonts w:eastAsia="Calibri"/>
          <w:color w:val="000000" w:themeColor="text1"/>
          <w:sz w:val="26"/>
          <w:szCs w:val="26"/>
        </w:rPr>
        <w:t xml:space="preserve">Bogotá D.C.; </w:t>
      </w:r>
      <w:proofErr w:type="gramStart"/>
      <w:r w:rsidR="00A46927">
        <w:rPr>
          <w:rFonts w:eastAsia="Calibri"/>
          <w:color w:val="000000" w:themeColor="text1"/>
          <w:sz w:val="26"/>
          <w:szCs w:val="26"/>
        </w:rPr>
        <w:t>Octu</w:t>
      </w:r>
      <w:r w:rsidR="004C0649" w:rsidRPr="003663B9">
        <w:rPr>
          <w:rFonts w:eastAsia="Calibri"/>
          <w:color w:val="000000" w:themeColor="text1"/>
          <w:sz w:val="26"/>
          <w:szCs w:val="26"/>
        </w:rPr>
        <w:t>bre</w:t>
      </w:r>
      <w:proofErr w:type="gramEnd"/>
      <w:r w:rsidR="004C0649" w:rsidRPr="003663B9">
        <w:rPr>
          <w:rFonts w:eastAsia="Calibri"/>
          <w:color w:val="000000" w:themeColor="text1"/>
          <w:sz w:val="26"/>
          <w:szCs w:val="26"/>
        </w:rPr>
        <w:t xml:space="preserve"> </w:t>
      </w:r>
      <w:r w:rsidR="00A46927">
        <w:rPr>
          <w:rFonts w:eastAsia="Calibri"/>
          <w:color w:val="000000" w:themeColor="text1"/>
          <w:sz w:val="26"/>
          <w:szCs w:val="26"/>
        </w:rPr>
        <w:t>6</w:t>
      </w:r>
      <w:r w:rsidR="00F51E69" w:rsidRPr="003663B9">
        <w:rPr>
          <w:rFonts w:eastAsia="Calibri"/>
          <w:color w:val="000000" w:themeColor="text1"/>
          <w:sz w:val="26"/>
          <w:szCs w:val="26"/>
        </w:rPr>
        <w:t xml:space="preserve"> de 20</w:t>
      </w:r>
      <w:r w:rsidR="004C0649" w:rsidRPr="003663B9">
        <w:rPr>
          <w:rFonts w:eastAsia="Calibri"/>
          <w:color w:val="000000" w:themeColor="text1"/>
          <w:sz w:val="26"/>
          <w:szCs w:val="26"/>
        </w:rPr>
        <w:t>20</w:t>
      </w:r>
    </w:p>
    <w:p w:rsidR="00160819" w:rsidRPr="003663B9" w:rsidRDefault="006E6254" w:rsidP="00AA3F8F">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 xml:space="preserve"> </w:t>
      </w:r>
    </w:p>
    <w:p w:rsidR="002B0601" w:rsidRPr="003663B9" w:rsidRDefault="002B0601" w:rsidP="00AA3F8F">
      <w:pPr>
        <w:spacing w:line="240" w:lineRule="auto"/>
        <w:contextualSpacing w:val="0"/>
        <w:jc w:val="both"/>
        <w:rPr>
          <w:rFonts w:eastAsia="Calibri"/>
          <w:color w:val="000000" w:themeColor="text1"/>
          <w:sz w:val="26"/>
          <w:szCs w:val="26"/>
        </w:rPr>
      </w:pPr>
    </w:p>
    <w:p w:rsidR="002B0601" w:rsidRPr="003663B9" w:rsidRDefault="002B0601" w:rsidP="00AA3F8F">
      <w:pPr>
        <w:spacing w:line="240" w:lineRule="auto"/>
        <w:contextualSpacing w:val="0"/>
        <w:jc w:val="both"/>
        <w:rPr>
          <w:rFonts w:eastAsia="Calibri"/>
          <w:color w:val="000000" w:themeColor="text1"/>
          <w:sz w:val="26"/>
          <w:szCs w:val="26"/>
        </w:rPr>
      </w:pPr>
    </w:p>
    <w:p w:rsidR="00160819" w:rsidRPr="003663B9" w:rsidRDefault="002B0601" w:rsidP="00AA3F8F">
      <w:pPr>
        <w:spacing w:line="240" w:lineRule="auto"/>
        <w:contextualSpacing w:val="0"/>
        <w:rPr>
          <w:rFonts w:eastAsia="Calibri"/>
          <w:color w:val="000000" w:themeColor="text1"/>
          <w:sz w:val="26"/>
          <w:szCs w:val="26"/>
        </w:rPr>
      </w:pPr>
      <w:r w:rsidRPr="003663B9">
        <w:rPr>
          <w:rFonts w:eastAsia="Calibri"/>
          <w:color w:val="000000" w:themeColor="text1"/>
          <w:sz w:val="26"/>
          <w:szCs w:val="26"/>
        </w:rPr>
        <w:t>Doctor</w:t>
      </w:r>
    </w:p>
    <w:p w:rsidR="00160819" w:rsidRPr="003663B9" w:rsidRDefault="004C0649" w:rsidP="00AA3F8F">
      <w:pPr>
        <w:spacing w:line="240" w:lineRule="auto"/>
        <w:contextualSpacing w:val="0"/>
        <w:rPr>
          <w:rFonts w:eastAsia="Calibri"/>
          <w:b/>
          <w:color w:val="000000" w:themeColor="text1"/>
          <w:sz w:val="26"/>
          <w:szCs w:val="26"/>
        </w:rPr>
      </w:pPr>
      <w:r w:rsidRPr="003663B9">
        <w:rPr>
          <w:rFonts w:eastAsia="Calibri"/>
          <w:b/>
          <w:color w:val="000000" w:themeColor="text1"/>
          <w:sz w:val="26"/>
          <w:szCs w:val="26"/>
        </w:rPr>
        <w:t>ALFREDO DELUQUE</w:t>
      </w:r>
    </w:p>
    <w:p w:rsidR="00160819" w:rsidRPr="003663B9" w:rsidRDefault="006E6254" w:rsidP="00AA3F8F">
      <w:pPr>
        <w:spacing w:line="240" w:lineRule="auto"/>
        <w:contextualSpacing w:val="0"/>
        <w:rPr>
          <w:rFonts w:eastAsia="Calibri"/>
          <w:b/>
          <w:color w:val="000000" w:themeColor="text1"/>
          <w:sz w:val="26"/>
          <w:szCs w:val="26"/>
        </w:rPr>
      </w:pPr>
      <w:r w:rsidRPr="003663B9">
        <w:rPr>
          <w:rFonts w:eastAsia="Calibri"/>
          <w:b/>
          <w:color w:val="000000" w:themeColor="text1"/>
          <w:sz w:val="26"/>
          <w:szCs w:val="26"/>
        </w:rPr>
        <w:t xml:space="preserve">Presidente </w:t>
      </w:r>
    </w:p>
    <w:p w:rsidR="00160819" w:rsidRPr="003663B9" w:rsidRDefault="005E7367" w:rsidP="00AA3F8F">
      <w:pPr>
        <w:spacing w:line="240" w:lineRule="auto"/>
        <w:contextualSpacing w:val="0"/>
        <w:jc w:val="both"/>
        <w:rPr>
          <w:rFonts w:eastAsia="Calibri"/>
          <w:b/>
          <w:color w:val="000000" w:themeColor="text1"/>
          <w:sz w:val="26"/>
          <w:szCs w:val="26"/>
        </w:rPr>
      </w:pPr>
      <w:r w:rsidRPr="003663B9">
        <w:rPr>
          <w:rFonts w:eastAsia="Calibri"/>
          <w:b/>
          <w:color w:val="000000" w:themeColor="text1"/>
          <w:sz w:val="26"/>
          <w:szCs w:val="26"/>
        </w:rPr>
        <w:t>H</w:t>
      </w:r>
      <w:r w:rsidR="00251138" w:rsidRPr="003663B9">
        <w:rPr>
          <w:rFonts w:eastAsia="Calibri"/>
          <w:b/>
          <w:color w:val="000000" w:themeColor="text1"/>
          <w:sz w:val="26"/>
          <w:szCs w:val="26"/>
        </w:rPr>
        <w:t xml:space="preserve">. </w:t>
      </w:r>
      <w:r w:rsidR="006E6254" w:rsidRPr="003663B9">
        <w:rPr>
          <w:rFonts w:eastAsia="Calibri"/>
          <w:b/>
          <w:color w:val="000000" w:themeColor="text1"/>
          <w:sz w:val="26"/>
          <w:szCs w:val="26"/>
        </w:rPr>
        <w:t>Cámara de Representantes</w:t>
      </w:r>
    </w:p>
    <w:p w:rsidR="00160819" w:rsidRPr="003663B9" w:rsidRDefault="00160819" w:rsidP="00AA3F8F">
      <w:pPr>
        <w:spacing w:line="240" w:lineRule="auto"/>
        <w:contextualSpacing w:val="0"/>
        <w:jc w:val="both"/>
        <w:rPr>
          <w:rFonts w:eastAsia="Calibri"/>
          <w:color w:val="000000" w:themeColor="text1"/>
          <w:sz w:val="26"/>
          <w:szCs w:val="26"/>
        </w:rPr>
      </w:pPr>
    </w:p>
    <w:p w:rsidR="00160819" w:rsidRPr="003663B9" w:rsidRDefault="00160819" w:rsidP="00AA3F8F">
      <w:pPr>
        <w:spacing w:line="240" w:lineRule="auto"/>
        <w:contextualSpacing w:val="0"/>
        <w:jc w:val="both"/>
        <w:rPr>
          <w:rFonts w:eastAsia="Calibri"/>
          <w:color w:val="000000" w:themeColor="text1"/>
          <w:sz w:val="26"/>
          <w:szCs w:val="26"/>
        </w:rPr>
      </w:pPr>
    </w:p>
    <w:p w:rsidR="00160819" w:rsidRPr="003663B9" w:rsidRDefault="006E6254" w:rsidP="00F51E69">
      <w:pPr>
        <w:spacing w:line="240" w:lineRule="auto"/>
        <w:ind w:left="993" w:hanging="993"/>
        <w:contextualSpacing w:val="0"/>
        <w:jc w:val="both"/>
        <w:rPr>
          <w:rFonts w:eastAsia="Calibri"/>
          <w:b/>
          <w:color w:val="000000" w:themeColor="text1"/>
          <w:sz w:val="26"/>
          <w:szCs w:val="26"/>
        </w:rPr>
      </w:pPr>
      <w:r w:rsidRPr="003663B9">
        <w:rPr>
          <w:rFonts w:eastAsia="Calibri"/>
          <w:b/>
          <w:color w:val="000000" w:themeColor="text1"/>
          <w:sz w:val="26"/>
          <w:szCs w:val="26"/>
        </w:rPr>
        <w:t xml:space="preserve">Asunto: Informe de ponencia </w:t>
      </w:r>
      <w:r w:rsidR="00F51E69" w:rsidRPr="003663B9">
        <w:rPr>
          <w:rFonts w:eastAsia="Calibri"/>
          <w:b/>
          <w:color w:val="000000" w:themeColor="text1"/>
          <w:sz w:val="26"/>
          <w:szCs w:val="26"/>
        </w:rPr>
        <w:t xml:space="preserve">para </w:t>
      </w:r>
      <w:r w:rsidR="00591DC6" w:rsidRPr="003663B9">
        <w:rPr>
          <w:rFonts w:eastAsia="Calibri"/>
          <w:b/>
          <w:color w:val="000000" w:themeColor="text1"/>
          <w:sz w:val="26"/>
          <w:szCs w:val="26"/>
        </w:rPr>
        <w:t>Primer</w:t>
      </w:r>
      <w:r w:rsidR="002B0601" w:rsidRPr="003663B9">
        <w:rPr>
          <w:rFonts w:eastAsia="Calibri"/>
          <w:b/>
          <w:color w:val="000000" w:themeColor="text1"/>
          <w:sz w:val="26"/>
          <w:szCs w:val="26"/>
        </w:rPr>
        <w:t xml:space="preserve"> Debate </w:t>
      </w:r>
      <w:r w:rsidR="00AA3F8F" w:rsidRPr="003663B9">
        <w:rPr>
          <w:rFonts w:eastAsia="Calibri"/>
          <w:b/>
          <w:color w:val="000000" w:themeColor="text1"/>
          <w:sz w:val="26"/>
          <w:szCs w:val="26"/>
        </w:rPr>
        <w:t xml:space="preserve">para </w:t>
      </w:r>
      <w:r w:rsidRPr="003663B9">
        <w:rPr>
          <w:rFonts w:eastAsia="Calibri"/>
          <w:b/>
          <w:color w:val="000000" w:themeColor="text1"/>
          <w:sz w:val="26"/>
          <w:szCs w:val="26"/>
        </w:rPr>
        <w:t xml:space="preserve">el </w:t>
      </w:r>
      <w:r w:rsidR="002B0601" w:rsidRPr="003663B9">
        <w:rPr>
          <w:rFonts w:eastAsia="Calibri"/>
          <w:b/>
          <w:color w:val="000000" w:themeColor="text1"/>
          <w:sz w:val="26"/>
          <w:szCs w:val="26"/>
        </w:rPr>
        <w:t>Proyecto de Le</w:t>
      </w:r>
      <w:r w:rsidR="004C0649" w:rsidRPr="003663B9">
        <w:rPr>
          <w:rFonts w:eastAsia="Calibri"/>
          <w:b/>
          <w:color w:val="000000" w:themeColor="text1"/>
          <w:sz w:val="26"/>
          <w:szCs w:val="26"/>
        </w:rPr>
        <w:t>y</w:t>
      </w:r>
      <w:r w:rsidR="002B0601" w:rsidRPr="003663B9">
        <w:rPr>
          <w:rFonts w:eastAsia="Calibri"/>
          <w:b/>
          <w:color w:val="000000" w:themeColor="text1"/>
          <w:sz w:val="26"/>
          <w:szCs w:val="26"/>
        </w:rPr>
        <w:t xml:space="preserve"> N°</w:t>
      </w:r>
      <w:r w:rsidRPr="003663B9">
        <w:rPr>
          <w:rFonts w:eastAsia="Calibri"/>
          <w:b/>
          <w:color w:val="000000" w:themeColor="text1"/>
          <w:sz w:val="26"/>
          <w:szCs w:val="26"/>
        </w:rPr>
        <w:t xml:space="preserve"> </w:t>
      </w:r>
      <w:r w:rsidR="004C0649" w:rsidRPr="003663B9">
        <w:rPr>
          <w:b/>
          <w:sz w:val="26"/>
          <w:szCs w:val="26"/>
        </w:rPr>
        <w:t>243 de 2020 Cámara “Por medio de la cual se establecen lineamientos especiales para la adquisición de predios para las entidades territoriales por prescripción adquisitiva y se dictan otras disposiciones”.</w:t>
      </w:r>
    </w:p>
    <w:p w:rsidR="00160819" w:rsidRPr="003663B9" w:rsidRDefault="00160819" w:rsidP="00AA3F8F">
      <w:pPr>
        <w:spacing w:line="240" w:lineRule="auto"/>
        <w:contextualSpacing w:val="0"/>
        <w:jc w:val="both"/>
        <w:rPr>
          <w:rFonts w:eastAsia="Calibri"/>
          <w:color w:val="000000" w:themeColor="text1"/>
          <w:sz w:val="26"/>
          <w:szCs w:val="26"/>
        </w:rPr>
      </w:pPr>
    </w:p>
    <w:p w:rsidR="002B0601" w:rsidRPr="003663B9" w:rsidRDefault="002B0601" w:rsidP="00AA3F8F">
      <w:pPr>
        <w:spacing w:line="240" w:lineRule="auto"/>
        <w:contextualSpacing w:val="0"/>
        <w:jc w:val="both"/>
        <w:rPr>
          <w:rFonts w:eastAsia="Calibri"/>
          <w:color w:val="000000" w:themeColor="text1"/>
          <w:sz w:val="26"/>
          <w:szCs w:val="26"/>
        </w:rPr>
      </w:pPr>
    </w:p>
    <w:p w:rsidR="00BA6CBA" w:rsidRPr="003663B9" w:rsidRDefault="00BA6CBA" w:rsidP="00AA3F8F">
      <w:pPr>
        <w:spacing w:line="240" w:lineRule="auto"/>
        <w:contextualSpacing w:val="0"/>
        <w:jc w:val="both"/>
        <w:rPr>
          <w:rFonts w:eastAsia="Calibri"/>
          <w:color w:val="000000" w:themeColor="text1"/>
          <w:sz w:val="26"/>
          <w:szCs w:val="26"/>
        </w:rPr>
      </w:pPr>
    </w:p>
    <w:p w:rsidR="00160819" w:rsidRPr="003663B9" w:rsidRDefault="006E6254" w:rsidP="00AA3F8F">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Respetado Presidente,</w:t>
      </w:r>
    </w:p>
    <w:p w:rsidR="00AA3F8F" w:rsidRPr="003663B9" w:rsidRDefault="00AA3F8F" w:rsidP="00AA3F8F">
      <w:pPr>
        <w:spacing w:line="240" w:lineRule="auto"/>
        <w:contextualSpacing w:val="0"/>
        <w:jc w:val="both"/>
        <w:rPr>
          <w:rFonts w:eastAsia="Calibri"/>
          <w:color w:val="000000" w:themeColor="text1"/>
          <w:sz w:val="26"/>
          <w:szCs w:val="26"/>
        </w:rPr>
      </w:pPr>
    </w:p>
    <w:p w:rsidR="00160819" w:rsidRPr="003663B9" w:rsidRDefault="006E6254" w:rsidP="00AA3F8F">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 xml:space="preserve">Atendiendo la designación de la Mesa Directiva de la Comisión Primera de la Cámara de Representantes y en virtud de las facultades constitucionales y las establecidas en la Ley 5ª de 1992, </w:t>
      </w:r>
      <w:r w:rsidR="00AA3F8F" w:rsidRPr="003663B9">
        <w:rPr>
          <w:rFonts w:eastAsia="Calibri"/>
          <w:color w:val="000000" w:themeColor="text1"/>
          <w:sz w:val="26"/>
          <w:szCs w:val="26"/>
        </w:rPr>
        <w:t>pon</w:t>
      </w:r>
      <w:r w:rsidR="00FB50DD" w:rsidRPr="003663B9">
        <w:rPr>
          <w:rFonts w:eastAsia="Calibri"/>
          <w:color w:val="000000" w:themeColor="text1"/>
          <w:sz w:val="26"/>
          <w:szCs w:val="26"/>
        </w:rPr>
        <w:t>go</w:t>
      </w:r>
      <w:r w:rsidRPr="003663B9">
        <w:rPr>
          <w:rFonts w:eastAsia="Calibri"/>
          <w:color w:val="000000" w:themeColor="text1"/>
          <w:sz w:val="26"/>
          <w:szCs w:val="26"/>
        </w:rPr>
        <w:t xml:space="preserve"> a consideración de los honorables Representantes de la </w:t>
      </w:r>
      <w:r w:rsidR="00FB50DD" w:rsidRPr="003663B9">
        <w:rPr>
          <w:rFonts w:eastAsia="Calibri"/>
          <w:color w:val="000000" w:themeColor="text1"/>
          <w:sz w:val="26"/>
          <w:szCs w:val="26"/>
        </w:rPr>
        <w:t>Comisión Primera</w:t>
      </w:r>
      <w:r w:rsidRPr="003663B9">
        <w:rPr>
          <w:rFonts w:eastAsia="Calibri"/>
          <w:color w:val="000000" w:themeColor="text1"/>
          <w:sz w:val="26"/>
          <w:szCs w:val="26"/>
        </w:rPr>
        <w:t xml:space="preserve"> de la Cámara de Representantes, el informe de ponencia</w:t>
      </w:r>
      <w:r w:rsidR="00FA2E5D" w:rsidRPr="003663B9">
        <w:rPr>
          <w:rFonts w:eastAsia="Calibri"/>
          <w:color w:val="000000" w:themeColor="text1"/>
          <w:sz w:val="26"/>
          <w:szCs w:val="26"/>
        </w:rPr>
        <w:t xml:space="preserve"> para </w:t>
      </w:r>
      <w:r w:rsidR="00FB50DD" w:rsidRPr="003663B9">
        <w:rPr>
          <w:rFonts w:eastAsia="Calibri"/>
          <w:color w:val="000000" w:themeColor="text1"/>
          <w:sz w:val="26"/>
          <w:szCs w:val="26"/>
        </w:rPr>
        <w:t>Primer</w:t>
      </w:r>
      <w:r w:rsidR="00FA2E5D" w:rsidRPr="003663B9">
        <w:rPr>
          <w:rFonts w:eastAsia="Calibri"/>
          <w:color w:val="000000" w:themeColor="text1"/>
          <w:sz w:val="26"/>
          <w:szCs w:val="26"/>
        </w:rPr>
        <w:t xml:space="preserve"> Debate</w:t>
      </w:r>
      <w:r w:rsidRPr="003663B9">
        <w:rPr>
          <w:rFonts w:eastAsia="Calibri"/>
          <w:color w:val="000000" w:themeColor="text1"/>
          <w:sz w:val="26"/>
          <w:szCs w:val="26"/>
        </w:rPr>
        <w:t xml:space="preserve"> </w:t>
      </w:r>
      <w:r w:rsidR="002B0601" w:rsidRPr="003663B9">
        <w:rPr>
          <w:rFonts w:eastAsia="Calibri"/>
          <w:color w:val="000000" w:themeColor="text1"/>
          <w:sz w:val="26"/>
          <w:szCs w:val="26"/>
        </w:rPr>
        <w:t>a</w:t>
      </w:r>
      <w:r w:rsidRPr="003663B9">
        <w:rPr>
          <w:rFonts w:eastAsia="Calibri"/>
          <w:color w:val="000000" w:themeColor="text1"/>
          <w:sz w:val="26"/>
          <w:szCs w:val="26"/>
        </w:rPr>
        <w:t xml:space="preserve">l </w:t>
      </w:r>
      <w:r w:rsidR="004C0649" w:rsidRPr="003663B9">
        <w:rPr>
          <w:rFonts w:eastAsia="Calibri"/>
          <w:b/>
          <w:color w:val="000000" w:themeColor="text1"/>
          <w:sz w:val="26"/>
          <w:szCs w:val="26"/>
        </w:rPr>
        <w:t xml:space="preserve">Proyecto de Ley N° </w:t>
      </w:r>
      <w:r w:rsidR="004C0649" w:rsidRPr="003663B9">
        <w:rPr>
          <w:b/>
          <w:sz w:val="26"/>
          <w:szCs w:val="26"/>
        </w:rPr>
        <w:t>243 de 2020 Cámara “Por medio de la cual se establecen lineamientos especiales para la adquisición de predios para las entidades territoriales por prescripción adquisitiva y se dictan otras disposiciones”.</w:t>
      </w:r>
    </w:p>
    <w:p w:rsidR="00160819" w:rsidRPr="003663B9" w:rsidRDefault="00160819" w:rsidP="00AA3F8F">
      <w:pPr>
        <w:spacing w:line="240" w:lineRule="auto"/>
        <w:contextualSpacing w:val="0"/>
        <w:jc w:val="both"/>
        <w:rPr>
          <w:rFonts w:eastAsia="Calibri"/>
          <w:color w:val="000000" w:themeColor="text1"/>
          <w:sz w:val="26"/>
          <w:szCs w:val="26"/>
        </w:rPr>
      </w:pPr>
    </w:p>
    <w:p w:rsidR="002B0601" w:rsidRPr="003663B9" w:rsidRDefault="002B0601" w:rsidP="00AA3F8F">
      <w:pPr>
        <w:spacing w:line="240" w:lineRule="auto"/>
        <w:contextualSpacing w:val="0"/>
        <w:jc w:val="both"/>
        <w:rPr>
          <w:rFonts w:eastAsia="Calibri"/>
          <w:color w:val="000000" w:themeColor="text1"/>
          <w:sz w:val="26"/>
          <w:szCs w:val="26"/>
        </w:rPr>
      </w:pPr>
    </w:p>
    <w:p w:rsidR="00160819" w:rsidRPr="003663B9" w:rsidRDefault="006E6254" w:rsidP="00AA3F8F">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 xml:space="preserve">Cordialmente, </w:t>
      </w:r>
    </w:p>
    <w:p w:rsidR="00160819" w:rsidRPr="003663B9" w:rsidRDefault="00160819" w:rsidP="00AA3F8F">
      <w:pPr>
        <w:spacing w:line="240" w:lineRule="auto"/>
        <w:contextualSpacing w:val="0"/>
        <w:jc w:val="both"/>
        <w:rPr>
          <w:rFonts w:eastAsia="Calibri"/>
          <w:color w:val="000000" w:themeColor="text1"/>
          <w:sz w:val="26"/>
          <w:szCs w:val="26"/>
        </w:rPr>
      </w:pPr>
    </w:p>
    <w:p w:rsidR="00160819" w:rsidRPr="003663B9" w:rsidRDefault="00160819" w:rsidP="00AA3F8F">
      <w:pPr>
        <w:spacing w:line="240" w:lineRule="auto"/>
        <w:contextualSpacing w:val="0"/>
        <w:jc w:val="both"/>
        <w:rPr>
          <w:rFonts w:eastAsia="Calibri"/>
          <w:color w:val="000000" w:themeColor="text1"/>
          <w:sz w:val="26"/>
          <w:szCs w:val="26"/>
        </w:rPr>
      </w:pPr>
      <w:bookmarkStart w:id="0" w:name="_GoBack"/>
      <w:bookmarkEnd w:id="0"/>
    </w:p>
    <w:p w:rsidR="00AA3F8F" w:rsidRPr="003663B9" w:rsidRDefault="00AA3F8F" w:rsidP="00AA3F8F">
      <w:pPr>
        <w:spacing w:line="240" w:lineRule="auto"/>
        <w:contextualSpacing w:val="0"/>
        <w:jc w:val="both"/>
        <w:rPr>
          <w:rFonts w:eastAsia="Calibri"/>
          <w:color w:val="000000" w:themeColor="text1"/>
          <w:sz w:val="26"/>
          <w:szCs w:val="26"/>
        </w:rPr>
      </w:pPr>
    </w:p>
    <w:p w:rsidR="00BA6CBA" w:rsidRPr="003663B9" w:rsidRDefault="00BA6CBA" w:rsidP="00AA3F8F">
      <w:pPr>
        <w:spacing w:line="240" w:lineRule="auto"/>
        <w:contextualSpacing w:val="0"/>
        <w:jc w:val="both"/>
        <w:rPr>
          <w:rFonts w:eastAsia="Calibri"/>
          <w:color w:val="000000" w:themeColor="text1"/>
          <w:sz w:val="26"/>
          <w:szCs w:val="26"/>
        </w:rPr>
      </w:pPr>
    </w:p>
    <w:p w:rsidR="00AA3F8F" w:rsidRPr="003663B9" w:rsidRDefault="00AA3F8F" w:rsidP="00AA3F8F">
      <w:pPr>
        <w:spacing w:line="240" w:lineRule="auto"/>
        <w:contextualSpacing w:val="0"/>
        <w:rPr>
          <w:rFonts w:eastAsia="Calibri"/>
          <w:color w:val="000000" w:themeColor="text1"/>
          <w:sz w:val="26"/>
          <w:szCs w:val="26"/>
        </w:rPr>
      </w:pPr>
    </w:p>
    <w:p w:rsidR="00160819" w:rsidRPr="003663B9" w:rsidRDefault="00AA3F8F" w:rsidP="00BA6CBA">
      <w:pPr>
        <w:spacing w:line="240" w:lineRule="auto"/>
        <w:contextualSpacing w:val="0"/>
        <w:jc w:val="center"/>
        <w:rPr>
          <w:rFonts w:eastAsia="Calibri"/>
          <w:b/>
          <w:color w:val="000000" w:themeColor="text1"/>
          <w:sz w:val="26"/>
          <w:szCs w:val="26"/>
        </w:rPr>
      </w:pPr>
      <w:r w:rsidRPr="003663B9">
        <w:rPr>
          <w:rFonts w:eastAsia="Calibri"/>
          <w:b/>
          <w:color w:val="000000" w:themeColor="text1"/>
          <w:sz w:val="26"/>
          <w:szCs w:val="26"/>
        </w:rPr>
        <w:t>JORGE ELIÉCER TAMAYO</w:t>
      </w:r>
      <w:r w:rsidR="00EA6747" w:rsidRPr="003663B9">
        <w:rPr>
          <w:rFonts w:eastAsia="Calibri"/>
          <w:b/>
          <w:color w:val="000000" w:themeColor="text1"/>
          <w:sz w:val="26"/>
          <w:szCs w:val="26"/>
        </w:rPr>
        <w:t xml:space="preserve"> M</w:t>
      </w:r>
      <w:r w:rsidR="00BA6CBA" w:rsidRPr="003663B9">
        <w:rPr>
          <w:rFonts w:eastAsia="Calibri"/>
          <w:b/>
          <w:color w:val="000000" w:themeColor="text1"/>
          <w:sz w:val="26"/>
          <w:szCs w:val="26"/>
        </w:rPr>
        <w:t>ARULANDA</w:t>
      </w:r>
    </w:p>
    <w:p w:rsidR="00BA6CBA" w:rsidRPr="003663B9" w:rsidRDefault="006E6254" w:rsidP="00BA6CBA">
      <w:pPr>
        <w:spacing w:line="240" w:lineRule="auto"/>
        <w:contextualSpacing w:val="0"/>
        <w:jc w:val="center"/>
        <w:rPr>
          <w:rFonts w:eastAsia="Calibri"/>
          <w:b/>
          <w:color w:val="000000" w:themeColor="text1"/>
          <w:sz w:val="26"/>
          <w:szCs w:val="26"/>
        </w:rPr>
      </w:pPr>
      <w:r w:rsidRPr="003663B9">
        <w:rPr>
          <w:rFonts w:eastAsia="Calibri"/>
          <w:b/>
          <w:color w:val="000000" w:themeColor="text1"/>
          <w:sz w:val="26"/>
          <w:szCs w:val="26"/>
        </w:rPr>
        <w:t>Representante a la Cámara</w:t>
      </w:r>
    </w:p>
    <w:p w:rsidR="00AA3F8F" w:rsidRPr="003663B9" w:rsidRDefault="00251138" w:rsidP="00BA6CBA">
      <w:pPr>
        <w:spacing w:line="240" w:lineRule="auto"/>
        <w:contextualSpacing w:val="0"/>
        <w:jc w:val="center"/>
        <w:rPr>
          <w:rFonts w:eastAsia="Calibri"/>
          <w:b/>
          <w:color w:val="000000" w:themeColor="text1"/>
          <w:sz w:val="26"/>
          <w:szCs w:val="26"/>
        </w:rPr>
      </w:pPr>
      <w:r w:rsidRPr="003663B9">
        <w:rPr>
          <w:rFonts w:eastAsia="Calibri"/>
          <w:b/>
          <w:color w:val="000000" w:themeColor="text1"/>
          <w:sz w:val="26"/>
          <w:szCs w:val="26"/>
        </w:rPr>
        <w:t xml:space="preserve">Coordinador </w:t>
      </w:r>
      <w:r w:rsidR="002B0601" w:rsidRPr="003663B9">
        <w:rPr>
          <w:rFonts w:eastAsia="Calibri"/>
          <w:b/>
          <w:color w:val="000000" w:themeColor="text1"/>
          <w:sz w:val="26"/>
          <w:szCs w:val="26"/>
        </w:rPr>
        <w:t>Ponente</w:t>
      </w:r>
    </w:p>
    <w:p w:rsidR="00AA3F8F" w:rsidRPr="003663B9" w:rsidRDefault="00AA3F8F" w:rsidP="00AA3F8F">
      <w:pPr>
        <w:spacing w:line="240" w:lineRule="auto"/>
        <w:contextualSpacing w:val="0"/>
        <w:rPr>
          <w:rFonts w:eastAsia="Calibri"/>
          <w:b/>
          <w:color w:val="000000" w:themeColor="text1"/>
          <w:sz w:val="26"/>
          <w:szCs w:val="26"/>
        </w:rPr>
      </w:pPr>
    </w:p>
    <w:p w:rsidR="00BA6CBA" w:rsidRPr="003663B9" w:rsidRDefault="00BA6CBA" w:rsidP="002C0C19">
      <w:pPr>
        <w:spacing w:line="240" w:lineRule="auto"/>
        <w:contextualSpacing w:val="0"/>
        <w:rPr>
          <w:rFonts w:eastAsia="Calibri"/>
          <w:b/>
          <w:color w:val="000000" w:themeColor="text1"/>
          <w:sz w:val="26"/>
          <w:szCs w:val="26"/>
        </w:rPr>
      </w:pPr>
    </w:p>
    <w:p w:rsidR="00160819" w:rsidRPr="003663B9" w:rsidRDefault="006E6254" w:rsidP="00AA3F8F">
      <w:pPr>
        <w:spacing w:line="240" w:lineRule="auto"/>
        <w:contextualSpacing w:val="0"/>
        <w:jc w:val="center"/>
        <w:rPr>
          <w:rFonts w:eastAsia="Calibri"/>
          <w:b/>
          <w:color w:val="000000" w:themeColor="text1"/>
          <w:sz w:val="26"/>
          <w:szCs w:val="26"/>
        </w:rPr>
      </w:pPr>
      <w:r w:rsidRPr="003663B9">
        <w:rPr>
          <w:rFonts w:eastAsia="Calibri"/>
          <w:b/>
          <w:color w:val="000000" w:themeColor="text1"/>
          <w:sz w:val="26"/>
          <w:szCs w:val="26"/>
        </w:rPr>
        <w:lastRenderedPageBreak/>
        <w:t xml:space="preserve">INFORME DE PONENCIA PARA </w:t>
      </w:r>
      <w:r w:rsidR="00BA6CBA" w:rsidRPr="003663B9">
        <w:rPr>
          <w:rFonts w:eastAsia="Calibri"/>
          <w:b/>
          <w:color w:val="000000" w:themeColor="text1"/>
          <w:sz w:val="26"/>
          <w:szCs w:val="26"/>
        </w:rPr>
        <w:t>PRIMER</w:t>
      </w:r>
      <w:r w:rsidR="002B0601" w:rsidRPr="003663B9">
        <w:rPr>
          <w:rFonts w:eastAsia="Calibri"/>
          <w:b/>
          <w:color w:val="000000" w:themeColor="text1"/>
          <w:sz w:val="26"/>
          <w:szCs w:val="26"/>
        </w:rPr>
        <w:t xml:space="preserve"> DEBATE </w:t>
      </w:r>
      <w:r w:rsidRPr="003663B9">
        <w:rPr>
          <w:rFonts w:eastAsia="Calibri"/>
          <w:b/>
          <w:color w:val="000000" w:themeColor="text1"/>
          <w:sz w:val="26"/>
          <w:szCs w:val="26"/>
        </w:rPr>
        <w:t>DEL</w:t>
      </w:r>
      <w:r w:rsidR="002B0601" w:rsidRPr="003663B9">
        <w:rPr>
          <w:rFonts w:eastAsia="Calibri"/>
          <w:b/>
          <w:color w:val="000000" w:themeColor="text1"/>
          <w:sz w:val="26"/>
          <w:szCs w:val="26"/>
        </w:rPr>
        <w:t xml:space="preserve"> PROYECTO DE LE</w:t>
      </w:r>
      <w:r w:rsidR="004C0649" w:rsidRPr="003663B9">
        <w:rPr>
          <w:rFonts w:eastAsia="Calibri"/>
          <w:b/>
          <w:color w:val="000000" w:themeColor="text1"/>
          <w:sz w:val="26"/>
          <w:szCs w:val="26"/>
        </w:rPr>
        <w:t>Y</w:t>
      </w:r>
      <w:r w:rsidR="002B0601" w:rsidRPr="003663B9">
        <w:rPr>
          <w:rFonts w:eastAsia="Calibri"/>
          <w:b/>
          <w:color w:val="000000" w:themeColor="text1"/>
          <w:sz w:val="26"/>
          <w:szCs w:val="26"/>
        </w:rPr>
        <w:t xml:space="preserve"> N°</w:t>
      </w:r>
      <w:r w:rsidRPr="003663B9">
        <w:rPr>
          <w:rFonts w:eastAsia="Calibri"/>
          <w:b/>
          <w:color w:val="000000" w:themeColor="text1"/>
          <w:sz w:val="26"/>
          <w:szCs w:val="26"/>
        </w:rPr>
        <w:t xml:space="preserve"> </w:t>
      </w:r>
      <w:r w:rsidR="004C0649" w:rsidRPr="003663B9">
        <w:rPr>
          <w:rFonts w:eastAsia="Calibri"/>
          <w:b/>
          <w:color w:val="000000" w:themeColor="text1"/>
          <w:sz w:val="26"/>
          <w:szCs w:val="26"/>
        </w:rPr>
        <w:t>243</w:t>
      </w:r>
      <w:r w:rsidR="002B0601" w:rsidRPr="003663B9">
        <w:rPr>
          <w:rFonts w:eastAsia="Calibri"/>
          <w:b/>
          <w:color w:val="000000" w:themeColor="text1"/>
          <w:sz w:val="26"/>
          <w:szCs w:val="26"/>
        </w:rPr>
        <w:t xml:space="preserve"> DE </w:t>
      </w:r>
      <w:r w:rsidR="00F51E69" w:rsidRPr="003663B9">
        <w:rPr>
          <w:rFonts w:eastAsia="Calibri"/>
          <w:b/>
          <w:color w:val="000000" w:themeColor="text1"/>
          <w:sz w:val="26"/>
          <w:szCs w:val="26"/>
        </w:rPr>
        <w:t>20</w:t>
      </w:r>
      <w:r w:rsidR="004C0649" w:rsidRPr="003663B9">
        <w:rPr>
          <w:rFonts w:eastAsia="Calibri"/>
          <w:b/>
          <w:color w:val="000000" w:themeColor="text1"/>
          <w:sz w:val="26"/>
          <w:szCs w:val="26"/>
        </w:rPr>
        <w:t>20</w:t>
      </w:r>
      <w:r w:rsidRPr="003663B9">
        <w:rPr>
          <w:rFonts w:eastAsia="Calibri"/>
          <w:b/>
          <w:color w:val="000000" w:themeColor="text1"/>
          <w:sz w:val="26"/>
          <w:szCs w:val="26"/>
        </w:rPr>
        <w:t xml:space="preserve"> CÁMARA </w:t>
      </w:r>
    </w:p>
    <w:p w:rsidR="002B0601" w:rsidRPr="003663B9" w:rsidRDefault="002B0601" w:rsidP="00AA3F8F">
      <w:pPr>
        <w:spacing w:line="240" w:lineRule="auto"/>
        <w:contextualSpacing w:val="0"/>
        <w:jc w:val="center"/>
        <w:rPr>
          <w:rFonts w:eastAsia="Calibri"/>
          <w:b/>
          <w:color w:val="000000" w:themeColor="text1"/>
          <w:sz w:val="26"/>
          <w:szCs w:val="26"/>
        </w:rPr>
      </w:pPr>
    </w:p>
    <w:p w:rsidR="00160819" w:rsidRPr="003663B9" w:rsidRDefault="004C0649" w:rsidP="004C0649">
      <w:pPr>
        <w:spacing w:line="240" w:lineRule="auto"/>
        <w:contextualSpacing w:val="0"/>
        <w:jc w:val="center"/>
        <w:rPr>
          <w:b/>
          <w:sz w:val="26"/>
          <w:szCs w:val="26"/>
        </w:rPr>
      </w:pPr>
      <w:r w:rsidRPr="003663B9">
        <w:rPr>
          <w:b/>
          <w:sz w:val="26"/>
          <w:szCs w:val="26"/>
        </w:rPr>
        <w:t>“Por medio de la cual se establecen lineamientos especiales para la adquisición de predios para las entidades territoriales por prescripción adquisitiva y se dictan otras disposiciones”</w:t>
      </w:r>
    </w:p>
    <w:p w:rsidR="004C0649" w:rsidRPr="003663B9" w:rsidRDefault="004C0649" w:rsidP="0032471E">
      <w:pPr>
        <w:spacing w:line="240" w:lineRule="auto"/>
        <w:contextualSpacing w:val="0"/>
        <w:rPr>
          <w:rFonts w:eastAsia="Calibri"/>
          <w:b/>
          <w:color w:val="000000" w:themeColor="text1"/>
          <w:sz w:val="26"/>
          <w:szCs w:val="26"/>
        </w:rPr>
      </w:pPr>
    </w:p>
    <w:p w:rsidR="0032471E" w:rsidRPr="003663B9" w:rsidRDefault="0032471E" w:rsidP="0032471E">
      <w:pPr>
        <w:spacing w:line="240" w:lineRule="auto"/>
        <w:contextualSpacing w:val="0"/>
        <w:rPr>
          <w:rFonts w:eastAsia="Calibri"/>
          <w:b/>
          <w:color w:val="000000" w:themeColor="text1"/>
          <w:sz w:val="26"/>
          <w:szCs w:val="26"/>
        </w:rPr>
      </w:pPr>
    </w:p>
    <w:p w:rsidR="00160819" w:rsidRPr="003663B9" w:rsidRDefault="006E6254" w:rsidP="00AA3F8F">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 xml:space="preserve">En atención a la designación hecha por la Presidencia de la Comisión Primera de la Cámara de Representantes, </w:t>
      </w:r>
      <w:r w:rsidR="00251138" w:rsidRPr="003663B9">
        <w:rPr>
          <w:rFonts w:eastAsia="Calibri"/>
          <w:color w:val="000000" w:themeColor="text1"/>
          <w:sz w:val="26"/>
          <w:szCs w:val="26"/>
        </w:rPr>
        <w:t>present</w:t>
      </w:r>
      <w:r w:rsidR="00FB50DD" w:rsidRPr="003663B9">
        <w:rPr>
          <w:rFonts w:eastAsia="Calibri"/>
          <w:color w:val="000000" w:themeColor="text1"/>
          <w:sz w:val="26"/>
          <w:szCs w:val="26"/>
        </w:rPr>
        <w:t>ó</w:t>
      </w:r>
      <w:r w:rsidRPr="003663B9">
        <w:rPr>
          <w:rFonts w:eastAsia="Calibri"/>
          <w:color w:val="000000" w:themeColor="text1"/>
          <w:sz w:val="26"/>
          <w:szCs w:val="26"/>
        </w:rPr>
        <w:t xml:space="preserve"> </w:t>
      </w:r>
      <w:r w:rsidRPr="003663B9">
        <w:rPr>
          <w:rFonts w:eastAsia="Calibri"/>
          <w:b/>
          <w:color w:val="000000" w:themeColor="text1"/>
          <w:sz w:val="26"/>
          <w:szCs w:val="26"/>
        </w:rPr>
        <w:t>INFORME DE PONENCIA</w:t>
      </w:r>
      <w:r w:rsidR="00AA3F8F" w:rsidRPr="003663B9">
        <w:rPr>
          <w:rFonts w:eastAsia="Calibri"/>
          <w:b/>
          <w:color w:val="000000" w:themeColor="text1"/>
          <w:sz w:val="26"/>
          <w:szCs w:val="26"/>
        </w:rPr>
        <w:t xml:space="preserve"> </w:t>
      </w:r>
      <w:r w:rsidR="00182D9F" w:rsidRPr="003663B9">
        <w:rPr>
          <w:rFonts w:eastAsia="Calibri"/>
          <w:b/>
          <w:color w:val="000000" w:themeColor="text1"/>
          <w:sz w:val="26"/>
          <w:szCs w:val="26"/>
        </w:rPr>
        <w:t xml:space="preserve">FAVORABLE </w:t>
      </w:r>
      <w:r w:rsidRPr="003663B9">
        <w:rPr>
          <w:rFonts w:eastAsia="Calibri"/>
          <w:color w:val="000000" w:themeColor="text1"/>
          <w:sz w:val="26"/>
          <w:szCs w:val="26"/>
        </w:rPr>
        <w:t xml:space="preserve">para </w:t>
      </w:r>
      <w:r w:rsidR="00FB50DD" w:rsidRPr="003663B9">
        <w:rPr>
          <w:rFonts w:eastAsia="Calibri"/>
          <w:color w:val="000000" w:themeColor="text1"/>
          <w:sz w:val="26"/>
          <w:szCs w:val="26"/>
        </w:rPr>
        <w:t>Primer</w:t>
      </w:r>
      <w:r w:rsidR="00584E09">
        <w:rPr>
          <w:rFonts w:eastAsia="Calibri"/>
          <w:color w:val="000000" w:themeColor="text1"/>
          <w:sz w:val="26"/>
          <w:szCs w:val="26"/>
        </w:rPr>
        <w:t xml:space="preserve"> Debate</w:t>
      </w:r>
      <w:r w:rsidR="00FA2E5D" w:rsidRPr="003663B9">
        <w:rPr>
          <w:rFonts w:eastAsia="Calibri"/>
          <w:color w:val="000000" w:themeColor="text1"/>
          <w:sz w:val="26"/>
          <w:szCs w:val="26"/>
        </w:rPr>
        <w:t xml:space="preserve"> </w:t>
      </w:r>
      <w:r w:rsidR="004C0649" w:rsidRPr="003663B9">
        <w:rPr>
          <w:rFonts w:eastAsia="Calibri"/>
          <w:color w:val="000000" w:themeColor="text1"/>
          <w:sz w:val="26"/>
          <w:szCs w:val="26"/>
        </w:rPr>
        <w:t>a</w:t>
      </w:r>
      <w:r w:rsidRPr="003663B9">
        <w:rPr>
          <w:rFonts w:eastAsia="Calibri"/>
          <w:color w:val="000000" w:themeColor="text1"/>
          <w:sz w:val="26"/>
          <w:szCs w:val="26"/>
        </w:rPr>
        <w:t xml:space="preserve">l </w:t>
      </w:r>
      <w:r w:rsidR="004C0649" w:rsidRPr="003663B9">
        <w:rPr>
          <w:rFonts w:eastAsia="Calibri"/>
          <w:color w:val="000000" w:themeColor="text1"/>
          <w:sz w:val="26"/>
          <w:szCs w:val="26"/>
        </w:rPr>
        <w:t>P</w:t>
      </w:r>
      <w:r w:rsidRPr="003663B9">
        <w:rPr>
          <w:rFonts w:eastAsia="Calibri"/>
          <w:color w:val="000000" w:themeColor="text1"/>
          <w:sz w:val="26"/>
          <w:szCs w:val="26"/>
        </w:rPr>
        <w:t xml:space="preserve">royecto de </w:t>
      </w:r>
      <w:r w:rsidR="004C0649" w:rsidRPr="003663B9">
        <w:rPr>
          <w:rFonts w:eastAsia="Calibri"/>
          <w:color w:val="000000" w:themeColor="text1"/>
          <w:sz w:val="26"/>
          <w:szCs w:val="26"/>
        </w:rPr>
        <w:t>L</w:t>
      </w:r>
      <w:r w:rsidRPr="003663B9">
        <w:rPr>
          <w:rFonts w:eastAsia="Calibri"/>
          <w:color w:val="000000" w:themeColor="text1"/>
          <w:sz w:val="26"/>
          <w:szCs w:val="26"/>
        </w:rPr>
        <w:t>e</w:t>
      </w:r>
      <w:r w:rsidR="004C0649" w:rsidRPr="003663B9">
        <w:rPr>
          <w:rFonts w:eastAsia="Calibri"/>
          <w:color w:val="000000" w:themeColor="text1"/>
          <w:sz w:val="26"/>
          <w:szCs w:val="26"/>
        </w:rPr>
        <w:t>y</w:t>
      </w:r>
      <w:r w:rsidRPr="003663B9">
        <w:rPr>
          <w:rFonts w:eastAsia="Calibri"/>
          <w:color w:val="000000" w:themeColor="text1"/>
          <w:sz w:val="26"/>
          <w:szCs w:val="26"/>
        </w:rPr>
        <w:t xml:space="preserve"> de </w:t>
      </w:r>
      <w:r w:rsidR="004C0649" w:rsidRPr="003663B9">
        <w:rPr>
          <w:rFonts w:eastAsia="Calibri"/>
          <w:color w:val="000000" w:themeColor="text1"/>
          <w:sz w:val="26"/>
          <w:szCs w:val="26"/>
        </w:rPr>
        <w:t xml:space="preserve">la </w:t>
      </w:r>
      <w:r w:rsidRPr="003663B9">
        <w:rPr>
          <w:rFonts w:eastAsia="Calibri"/>
          <w:color w:val="000000" w:themeColor="text1"/>
          <w:sz w:val="26"/>
          <w:szCs w:val="26"/>
        </w:rPr>
        <w:t>referencia</w:t>
      </w:r>
      <w:r w:rsidR="00FB50DD" w:rsidRPr="003663B9">
        <w:rPr>
          <w:rFonts w:eastAsia="Calibri"/>
          <w:color w:val="000000" w:themeColor="text1"/>
          <w:sz w:val="26"/>
          <w:szCs w:val="26"/>
        </w:rPr>
        <w:t>, previa</w:t>
      </w:r>
      <w:r w:rsidRPr="003663B9">
        <w:rPr>
          <w:rFonts w:eastAsia="Calibri"/>
          <w:color w:val="000000" w:themeColor="text1"/>
          <w:sz w:val="26"/>
          <w:szCs w:val="26"/>
        </w:rPr>
        <w:t xml:space="preserve"> las siguientes consideraciones. </w:t>
      </w:r>
    </w:p>
    <w:p w:rsidR="00AA3F8F" w:rsidRPr="003663B9" w:rsidRDefault="00AA3F8F" w:rsidP="00AA3F8F">
      <w:pPr>
        <w:spacing w:line="240" w:lineRule="auto"/>
        <w:contextualSpacing w:val="0"/>
        <w:jc w:val="both"/>
        <w:rPr>
          <w:rFonts w:eastAsia="Calibri"/>
          <w:color w:val="000000" w:themeColor="text1"/>
          <w:sz w:val="26"/>
          <w:szCs w:val="26"/>
        </w:rPr>
      </w:pPr>
    </w:p>
    <w:p w:rsidR="00160819" w:rsidRPr="003663B9" w:rsidRDefault="00160819" w:rsidP="00AA3F8F">
      <w:pPr>
        <w:spacing w:line="240" w:lineRule="auto"/>
        <w:contextualSpacing w:val="0"/>
        <w:jc w:val="both"/>
        <w:rPr>
          <w:rFonts w:eastAsia="Calibri"/>
          <w:b/>
          <w:color w:val="000000" w:themeColor="text1"/>
          <w:sz w:val="26"/>
          <w:szCs w:val="26"/>
        </w:rPr>
      </w:pPr>
    </w:p>
    <w:p w:rsidR="00160819" w:rsidRPr="003663B9" w:rsidRDefault="006E6254" w:rsidP="00AA3F8F">
      <w:pPr>
        <w:widowControl w:val="0"/>
        <w:spacing w:line="240" w:lineRule="auto"/>
        <w:contextualSpacing w:val="0"/>
        <w:rPr>
          <w:rFonts w:eastAsia="Calibri"/>
          <w:b/>
          <w:color w:val="000000" w:themeColor="text1"/>
          <w:sz w:val="26"/>
          <w:szCs w:val="26"/>
          <w:highlight w:val="white"/>
        </w:rPr>
      </w:pPr>
      <w:r w:rsidRPr="003663B9">
        <w:rPr>
          <w:rFonts w:eastAsia="Calibri"/>
          <w:b/>
          <w:color w:val="000000" w:themeColor="text1"/>
          <w:sz w:val="26"/>
          <w:szCs w:val="26"/>
          <w:highlight w:val="white"/>
        </w:rPr>
        <w:t xml:space="preserve">I. </w:t>
      </w:r>
      <w:r w:rsidR="00C050DD" w:rsidRPr="003663B9">
        <w:rPr>
          <w:rFonts w:eastAsia="Calibri"/>
          <w:b/>
          <w:color w:val="000000" w:themeColor="text1"/>
          <w:sz w:val="26"/>
          <w:szCs w:val="26"/>
          <w:highlight w:val="white"/>
        </w:rPr>
        <w:t>ANTECEDENTES LEGISLATIVOS</w:t>
      </w:r>
    </w:p>
    <w:p w:rsidR="00160819" w:rsidRPr="003663B9" w:rsidRDefault="00160819" w:rsidP="00AA3F8F">
      <w:pPr>
        <w:widowControl w:val="0"/>
        <w:spacing w:line="240" w:lineRule="auto"/>
        <w:ind w:left="720"/>
        <w:contextualSpacing w:val="0"/>
        <w:rPr>
          <w:rFonts w:eastAsia="Calibri"/>
          <w:b/>
          <w:color w:val="000000" w:themeColor="text1"/>
          <w:sz w:val="26"/>
          <w:szCs w:val="26"/>
          <w:highlight w:val="white"/>
        </w:rPr>
      </w:pPr>
    </w:p>
    <w:p w:rsidR="00750368" w:rsidRPr="003663B9" w:rsidRDefault="006E6254" w:rsidP="00AA3F8F">
      <w:pPr>
        <w:widowControl w:val="0"/>
        <w:shd w:val="clear" w:color="auto" w:fill="FFFFFF"/>
        <w:spacing w:line="240" w:lineRule="auto"/>
        <w:contextualSpacing w:val="0"/>
        <w:jc w:val="both"/>
        <w:rPr>
          <w:rFonts w:eastAsia="Calibri"/>
          <w:color w:val="000000" w:themeColor="text1"/>
          <w:sz w:val="26"/>
          <w:szCs w:val="26"/>
          <w:highlight w:val="white"/>
        </w:rPr>
      </w:pPr>
      <w:r w:rsidRPr="003663B9">
        <w:rPr>
          <w:rFonts w:eastAsia="Calibri"/>
          <w:color w:val="000000" w:themeColor="text1"/>
          <w:sz w:val="26"/>
          <w:szCs w:val="26"/>
          <w:highlight w:val="white"/>
        </w:rPr>
        <w:t>E</w:t>
      </w:r>
      <w:r w:rsidR="00C050DD" w:rsidRPr="003663B9">
        <w:rPr>
          <w:rFonts w:eastAsia="Calibri"/>
          <w:color w:val="000000" w:themeColor="text1"/>
          <w:sz w:val="26"/>
          <w:szCs w:val="26"/>
          <w:highlight w:val="white"/>
        </w:rPr>
        <w:t>ste proyecto de Le</w:t>
      </w:r>
      <w:r w:rsidR="002E0A8E" w:rsidRPr="003663B9">
        <w:rPr>
          <w:rFonts w:eastAsia="Calibri"/>
          <w:color w:val="000000" w:themeColor="text1"/>
          <w:sz w:val="26"/>
          <w:szCs w:val="26"/>
          <w:highlight w:val="white"/>
        </w:rPr>
        <w:t>y</w:t>
      </w:r>
      <w:r w:rsidR="00C050DD" w:rsidRPr="003663B9">
        <w:rPr>
          <w:rFonts w:eastAsia="Calibri"/>
          <w:color w:val="000000" w:themeColor="text1"/>
          <w:sz w:val="26"/>
          <w:szCs w:val="26"/>
          <w:highlight w:val="white"/>
        </w:rPr>
        <w:t xml:space="preserve"> ya había sido presentado </w:t>
      </w:r>
      <w:r w:rsidR="002E0A8E" w:rsidRPr="003663B9">
        <w:rPr>
          <w:rFonts w:eastAsia="Calibri"/>
          <w:color w:val="000000" w:themeColor="text1"/>
          <w:sz w:val="26"/>
          <w:szCs w:val="26"/>
          <w:highlight w:val="white"/>
        </w:rPr>
        <w:t xml:space="preserve">en varias oportunidades desde </w:t>
      </w:r>
      <w:r w:rsidR="00C050DD" w:rsidRPr="003663B9">
        <w:rPr>
          <w:rFonts w:eastAsia="Calibri"/>
          <w:color w:val="000000" w:themeColor="text1"/>
          <w:sz w:val="26"/>
          <w:szCs w:val="26"/>
          <w:highlight w:val="white"/>
        </w:rPr>
        <w:t>e</w:t>
      </w:r>
      <w:r w:rsidRPr="003663B9">
        <w:rPr>
          <w:rFonts w:eastAsia="Calibri"/>
          <w:color w:val="000000" w:themeColor="text1"/>
          <w:sz w:val="26"/>
          <w:szCs w:val="26"/>
          <w:highlight w:val="white"/>
        </w:rPr>
        <w:t>l</w:t>
      </w:r>
      <w:r w:rsidR="00C050DD" w:rsidRPr="003663B9">
        <w:rPr>
          <w:rFonts w:eastAsia="Calibri"/>
          <w:color w:val="000000" w:themeColor="text1"/>
          <w:sz w:val="26"/>
          <w:szCs w:val="26"/>
          <w:highlight w:val="white"/>
        </w:rPr>
        <w:t xml:space="preserve"> </w:t>
      </w:r>
      <w:r w:rsidR="002E0A8E" w:rsidRPr="003663B9">
        <w:rPr>
          <w:rFonts w:eastAsia="Calibri"/>
          <w:color w:val="000000" w:themeColor="text1"/>
          <w:sz w:val="26"/>
          <w:szCs w:val="26"/>
          <w:highlight w:val="white"/>
        </w:rPr>
        <w:t>año 2012 por el Honorable Senador Carlos Ferro</w:t>
      </w:r>
      <w:r w:rsidR="00190A1D" w:rsidRPr="003663B9">
        <w:rPr>
          <w:rFonts w:eastAsia="Calibri"/>
          <w:color w:val="000000" w:themeColor="text1"/>
          <w:sz w:val="26"/>
          <w:szCs w:val="26"/>
          <w:highlight w:val="white"/>
        </w:rPr>
        <w:t xml:space="preserve"> bajo el Proyecto de Ley N° 78 de 2012 Senado – 233 de 2012 Cámara, el cual alcanzó a llegar hasta su tercer debate; posteriormente en el Plan Nacional de Desarrollo 2014 – 2018, se incluyó en el artículo 64 la posibilidad del saneamiento de inmuebles de Instituciones Educativas, Instituciones de Educación Superior a través del procedimiento establecido en la Ley 1561 de 2012, pero que en la actualidad no ha sido posible adelantar el saneamiento de la titulación a través de este mecanismo</w:t>
      </w:r>
      <w:r w:rsidR="00750368" w:rsidRPr="003663B9">
        <w:rPr>
          <w:rFonts w:eastAsia="Calibri"/>
          <w:color w:val="000000" w:themeColor="text1"/>
          <w:sz w:val="26"/>
          <w:szCs w:val="26"/>
          <w:highlight w:val="white"/>
        </w:rPr>
        <w:t>.</w:t>
      </w:r>
    </w:p>
    <w:p w:rsidR="00750368" w:rsidRPr="003663B9" w:rsidRDefault="00750368" w:rsidP="00AA3F8F">
      <w:pPr>
        <w:widowControl w:val="0"/>
        <w:shd w:val="clear" w:color="auto" w:fill="FFFFFF"/>
        <w:spacing w:line="240" w:lineRule="auto"/>
        <w:contextualSpacing w:val="0"/>
        <w:jc w:val="both"/>
        <w:rPr>
          <w:rFonts w:eastAsia="Calibri"/>
          <w:color w:val="000000" w:themeColor="text1"/>
          <w:sz w:val="26"/>
          <w:szCs w:val="26"/>
          <w:highlight w:val="white"/>
        </w:rPr>
      </w:pPr>
    </w:p>
    <w:p w:rsidR="00556E86" w:rsidRPr="003663B9" w:rsidRDefault="00750368" w:rsidP="006F409D">
      <w:pPr>
        <w:spacing w:line="240" w:lineRule="auto"/>
        <w:jc w:val="both"/>
        <w:rPr>
          <w:sz w:val="26"/>
          <w:szCs w:val="26"/>
        </w:rPr>
      </w:pPr>
      <w:r w:rsidRPr="003663B9">
        <w:rPr>
          <w:color w:val="000000"/>
          <w:sz w:val="26"/>
          <w:szCs w:val="26"/>
        </w:rPr>
        <w:t xml:space="preserve">En la legislatura 2016 - 2017 </w:t>
      </w:r>
      <w:r w:rsidRPr="003663B9">
        <w:rPr>
          <w:sz w:val="26"/>
          <w:szCs w:val="26"/>
        </w:rPr>
        <w:t>surgieron</w:t>
      </w:r>
      <w:r w:rsidRPr="003663B9">
        <w:rPr>
          <w:color w:val="000000"/>
          <w:sz w:val="26"/>
          <w:szCs w:val="26"/>
        </w:rPr>
        <w:t xml:space="preserve"> dos nuevas iniciativas de origen </w:t>
      </w:r>
      <w:proofErr w:type="spellStart"/>
      <w:r w:rsidRPr="003663B9">
        <w:rPr>
          <w:color w:val="000000"/>
          <w:sz w:val="26"/>
          <w:szCs w:val="26"/>
        </w:rPr>
        <w:t>Congresional</w:t>
      </w:r>
      <w:proofErr w:type="spellEnd"/>
      <w:r w:rsidRPr="003663B9">
        <w:rPr>
          <w:color w:val="000000"/>
          <w:sz w:val="26"/>
          <w:szCs w:val="26"/>
        </w:rPr>
        <w:t xml:space="preserve"> que fueron: </w:t>
      </w:r>
      <w:r w:rsidRPr="003663B9">
        <w:rPr>
          <w:sz w:val="26"/>
          <w:szCs w:val="26"/>
        </w:rPr>
        <w:t xml:space="preserve">El Proyecto de Ley número 052/2016 Cámara presentado por la Honorable Representante Elda Lucy Contento Sanz, y por otro lado, el Proyecto de Ley 072/2016 Cámara  presentado por los Honorables Representantes: Hugo Hernán González Medina, Carlos Eduardo Guevara </w:t>
      </w:r>
      <w:proofErr w:type="spellStart"/>
      <w:r w:rsidRPr="003663B9">
        <w:rPr>
          <w:sz w:val="26"/>
          <w:szCs w:val="26"/>
        </w:rPr>
        <w:t>Villabón</w:t>
      </w:r>
      <w:proofErr w:type="spellEnd"/>
      <w:r w:rsidRPr="003663B9">
        <w:rPr>
          <w:sz w:val="26"/>
          <w:szCs w:val="26"/>
        </w:rPr>
        <w:t xml:space="preserve">, Samuel Alejandro Hoyos Mejía, María Fernanda Cabal Molina, Tatiana Cabello Flórez, Wilmer Ramiro Carrillo Mendoza, Jairo Enrique Castiblanco Parra, Wilson Córdoba Mena, Víctor Javier Correa Vélez, Carlos Alberto Cuero Valencia, Fredy Antonio Anaya Martínez, Federico Eduardo Hoyos Salazar, Inés Cecilia López Flórez, Jaime Felipe Lozada Polanco, Rubén Darío Molano Piñeros, Héctor Javier Osorio Botello, Oscar Darío Pérez Pineda, Esperanza Marín Pinzón, Álvaro Hernán Prada </w:t>
      </w:r>
      <w:proofErr w:type="spellStart"/>
      <w:r w:rsidRPr="003663B9">
        <w:rPr>
          <w:sz w:val="26"/>
          <w:szCs w:val="26"/>
        </w:rPr>
        <w:t>Artunduaga</w:t>
      </w:r>
      <w:proofErr w:type="spellEnd"/>
      <w:r w:rsidRPr="003663B9">
        <w:rPr>
          <w:sz w:val="26"/>
          <w:szCs w:val="26"/>
        </w:rPr>
        <w:t xml:space="preserve">, Ciro Alejandro Ramírez Cortes, Margarita María Restrepo Arango, Edward David Rodríguez </w:t>
      </w:r>
      <w:proofErr w:type="spellStart"/>
      <w:r w:rsidRPr="003663B9">
        <w:rPr>
          <w:sz w:val="26"/>
          <w:szCs w:val="26"/>
        </w:rPr>
        <w:t>Rodríguez</w:t>
      </w:r>
      <w:proofErr w:type="spellEnd"/>
      <w:r w:rsidRPr="003663B9">
        <w:rPr>
          <w:sz w:val="26"/>
          <w:szCs w:val="26"/>
        </w:rPr>
        <w:t xml:space="preserve">, Fernando Sierra </w:t>
      </w:r>
      <w:proofErr w:type="spellStart"/>
      <w:r w:rsidRPr="003663B9">
        <w:rPr>
          <w:sz w:val="26"/>
          <w:szCs w:val="26"/>
        </w:rPr>
        <w:t>Sierra</w:t>
      </w:r>
      <w:proofErr w:type="spellEnd"/>
      <w:r w:rsidRPr="003663B9">
        <w:rPr>
          <w:sz w:val="26"/>
          <w:szCs w:val="26"/>
        </w:rPr>
        <w:t xml:space="preserve">, Santiago Valencia González, Martha Patricia Villalba </w:t>
      </w:r>
      <w:proofErr w:type="spellStart"/>
      <w:r w:rsidRPr="003663B9">
        <w:rPr>
          <w:sz w:val="26"/>
          <w:szCs w:val="26"/>
        </w:rPr>
        <w:t>Hodwalker</w:t>
      </w:r>
      <w:proofErr w:type="spellEnd"/>
      <w:r w:rsidRPr="003663B9">
        <w:rPr>
          <w:sz w:val="26"/>
          <w:szCs w:val="26"/>
        </w:rPr>
        <w:t>, María R</w:t>
      </w:r>
      <w:r w:rsidR="006F409D" w:rsidRPr="003663B9">
        <w:rPr>
          <w:sz w:val="26"/>
          <w:szCs w:val="26"/>
        </w:rPr>
        <w:t>egina Zuluaga Henao,  Jorge Elié</w:t>
      </w:r>
      <w:r w:rsidRPr="003663B9">
        <w:rPr>
          <w:sz w:val="26"/>
          <w:szCs w:val="26"/>
        </w:rPr>
        <w:t xml:space="preserve">cer Tamayo Marulanda; y por los Honorables Senadores: Alfredo Ramos Maya, Daniel Alberto Cabrales Castillo, Honorio Miguel Henríquez Pinedo, Jaime Alejandro Amín Hernández, Nohora Stella Tovar Rey, </w:t>
      </w:r>
      <w:r w:rsidRPr="003663B9">
        <w:rPr>
          <w:sz w:val="26"/>
          <w:szCs w:val="26"/>
        </w:rPr>
        <w:lastRenderedPageBreak/>
        <w:t xml:space="preserve">Paloma Valencia </w:t>
      </w:r>
      <w:proofErr w:type="spellStart"/>
      <w:r w:rsidRPr="003663B9">
        <w:rPr>
          <w:sz w:val="26"/>
          <w:szCs w:val="26"/>
        </w:rPr>
        <w:t>Laserna</w:t>
      </w:r>
      <w:proofErr w:type="spellEnd"/>
      <w:r w:rsidRPr="003663B9">
        <w:rPr>
          <w:sz w:val="26"/>
          <w:szCs w:val="26"/>
        </w:rPr>
        <w:t xml:space="preserve">, Paola Andrea Holguín Moreno, Ruby </w:t>
      </w:r>
      <w:proofErr w:type="spellStart"/>
      <w:r w:rsidRPr="003663B9">
        <w:rPr>
          <w:sz w:val="26"/>
          <w:szCs w:val="26"/>
        </w:rPr>
        <w:t>Thania</w:t>
      </w:r>
      <w:proofErr w:type="spellEnd"/>
      <w:r w:rsidRPr="003663B9">
        <w:rPr>
          <w:sz w:val="26"/>
          <w:szCs w:val="26"/>
        </w:rPr>
        <w:t xml:space="preserve"> Vega </w:t>
      </w:r>
      <w:r w:rsidR="006F409D" w:rsidRPr="003663B9">
        <w:rPr>
          <w:sz w:val="26"/>
          <w:szCs w:val="26"/>
        </w:rPr>
        <w:t>de Plaza, Susana Correa Borrero; estas iniciativas fueron acumuladas y también alcanzaron a llegar hasta su tercer debate y fue archivado por no alcanzar</w:t>
      </w:r>
      <w:r w:rsidRPr="003663B9">
        <w:rPr>
          <w:sz w:val="26"/>
          <w:szCs w:val="26"/>
        </w:rPr>
        <w:t xml:space="preserve"> </w:t>
      </w:r>
      <w:r w:rsidR="006F409D" w:rsidRPr="003663B9">
        <w:rPr>
          <w:sz w:val="26"/>
          <w:szCs w:val="26"/>
        </w:rPr>
        <w:t>a completar su trámite.</w:t>
      </w:r>
    </w:p>
    <w:p w:rsidR="002E0A8E" w:rsidRPr="003663B9" w:rsidRDefault="002E0A8E" w:rsidP="006F409D">
      <w:pPr>
        <w:spacing w:line="240" w:lineRule="auto"/>
        <w:jc w:val="both"/>
        <w:rPr>
          <w:color w:val="000000"/>
          <w:sz w:val="26"/>
          <w:szCs w:val="26"/>
        </w:rPr>
      </w:pPr>
    </w:p>
    <w:p w:rsidR="002E0A8E" w:rsidRPr="003663B9" w:rsidRDefault="006F409D" w:rsidP="006F409D">
      <w:pPr>
        <w:spacing w:line="240" w:lineRule="auto"/>
        <w:jc w:val="both"/>
        <w:rPr>
          <w:sz w:val="26"/>
          <w:szCs w:val="26"/>
        </w:rPr>
      </w:pPr>
      <w:r w:rsidRPr="003663B9">
        <w:rPr>
          <w:sz w:val="26"/>
          <w:szCs w:val="26"/>
        </w:rPr>
        <w:t xml:space="preserve">Para la legislatura 2018 – 2019, se presentó nuevamente el proyecto de ley ampliando su alcance con base en el trámite adelantado por los proyectos que fueron acumulados en la legislatura 2016 – 2017; quedando radicado bajo </w:t>
      </w:r>
      <w:r w:rsidRPr="003663B9">
        <w:rPr>
          <w:color w:val="000000"/>
          <w:sz w:val="26"/>
          <w:szCs w:val="26"/>
        </w:rPr>
        <w:t xml:space="preserve">el Proyecto de Ley N° 212 de 2018 Senado que fue presentada por parte de los Representantes a la Cámara Luis Fernando Gómez, Jorge Eliécer Tamayo Marulanda, Martha Patricia Villalba, Atilano Alonso Giraldo, Jaime Felipe Lozada, Julián Peinado Ramírez, Wilmer Ramiro Carrillo, Diego Patiño </w:t>
      </w:r>
      <w:proofErr w:type="spellStart"/>
      <w:r w:rsidRPr="003663B9">
        <w:rPr>
          <w:color w:val="000000"/>
          <w:sz w:val="26"/>
          <w:szCs w:val="26"/>
        </w:rPr>
        <w:t>Amariles</w:t>
      </w:r>
      <w:proofErr w:type="spellEnd"/>
      <w:r w:rsidRPr="003663B9">
        <w:rPr>
          <w:color w:val="000000"/>
          <w:sz w:val="26"/>
          <w:szCs w:val="26"/>
        </w:rPr>
        <w:t xml:space="preserve">, Alfredo </w:t>
      </w:r>
      <w:proofErr w:type="spellStart"/>
      <w:r w:rsidRPr="003663B9">
        <w:rPr>
          <w:color w:val="000000"/>
          <w:sz w:val="26"/>
          <w:szCs w:val="26"/>
        </w:rPr>
        <w:t>Ape</w:t>
      </w:r>
      <w:proofErr w:type="spellEnd"/>
      <w:r w:rsidRPr="003663B9">
        <w:rPr>
          <w:color w:val="000000"/>
          <w:sz w:val="26"/>
          <w:szCs w:val="26"/>
        </w:rPr>
        <w:t xml:space="preserve"> Cuello </w:t>
      </w:r>
      <w:proofErr w:type="spellStart"/>
      <w:r w:rsidRPr="003663B9">
        <w:rPr>
          <w:color w:val="000000"/>
          <w:sz w:val="26"/>
          <w:szCs w:val="26"/>
        </w:rPr>
        <w:t>Baute</w:t>
      </w:r>
      <w:proofErr w:type="spellEnd"/>
      <w:r w:rsidRPr="003663B9">
        <w:rPr>
          <w:color w:val="000000"/>
          <w:sz w:val="26"/>
          <w:szCs w:val="26"/>
        </w:rPr>
        <w:t>, Oscar Darío Pérez, María Margarita Restrepo, Edward David Rodríguez, Ciro Antonio Rodríguez; y los Senadores de la República Carlos Eduardo Guevara, Iván Darío Agudelo, Paloma Valencia, Santiago Valencia, Ciro Alejandro Ramírez y Carlos Felipe Mejía, pero lastimosamente por la agenda de la Comisión I del Senado no se pudo tramitar.</w:t>
      </w:r>
      <w:r w:rsidRPr="003663B9">
        <w:rPr>
          <w:sz w:val="26"/>
          <w:szCs w:val="26"/>
        </w:rPr>
        <w:t xml:space="preserve"> </w:t>
      </w:r>
    </w:p>
    <w:p w:rsidR="002E0A8E" w:rsidRPr="003663B9" w:rsidRDefault="002E0A8E" w:rsidP="006F409D">
      <w:pPr>
        <w:spacing w:line="240" w:lineRule="auto"/>
        <w:jc w:val="both"/>
        <w:rPr>
          <w:color w:val="000000"/>
          <w:sz w:val="26"/>
          <w:szCs w:val="26"/>
        </w:rPr>
      </w:pPr>
    </w:p>
    <w:p w:rsidR="006F409D" w:rsidRPr="003663B9" w:rsidRDefault="002E0A8E" w:rsidP="006F409D">
      <w:pPr>
        <w:spacing w:line="240" w:lineRule="auto"/>
        <w:jc w:val="both"/>
        <w:rPr>
          <w:sz w:val="26"/>
          <w:szCs w:val="26"/>
        </w:rPr>
      </w:pPr>
      <w:r w:rsidRPr="003663B9">
        <w:rPr>
          <w:sz w:val="26"/>
          <w:szCs w:val="26"/>
        </w:rPr>
        <w:t xml:space="preserve">Para la legislatura 2019 – 2020, se vuelve a presentar la iniciativa ante el Senado de la República, la cual quedó radicada bajo el Proyecto de Ley N° 116 de 2019 Senado por los Representantes a la Cámara Luis Fernando Gómez, Jorge Eliécer Tamayo Marulanda, Martha Patricia Villalba, Norma Hurtado Sánchez, </w:t>
      </w:r>
      <w:proofErr w:type="spellStart"/>
      <w:r w:rsidRPr="003663B9">
        <w:rPr>
          <w:sz w:val="26"/>
          <w:szCs w:val="26"/>
        </w:rPr>
        <w:t>Elbert</w:t>
      </w:r>
      <w:proofErr w:type="spellEnd"/>
      <w:r w:rsidRPr="003663B9">
        <w:rPr>
          <w:sz w:val="26"/>
          <w:szCs w:val="26"/>
        </w:rPr>
        <w:t xml:space="preserve"> Díaz Lozano, José Eliécer Salazar, Harold Augusto Valencia, Hernán </w:t>
      </w:r>
      <w:proofErr w:type="spellStart"/>
      <w:r w:rsidRPr="003663B9">
        <w:rPr>
          <w:sz w:val="26"/>
          <w:szCs w:val="26"/>
        </w:rPr>
        <w:t>Banguero</w:t>
      </w:r>
      <w:proofErr w:type="spellEnd"/>
      <w:r w:rsidRPr="003663B9">
        <w:rPr>
          <w:sz w:val="26"/>
          <w:szCs w:val="26"/>
        </w:rPr>
        <w:t xml:space="preserve"> Andrade, Anatolio Hernández Lozano, Luis Alberto Albán, Jairo Humberto Cristo, Alejandro Carlos Chacón, Jorge Méndez Hernández, Emeterio José Montes, David Pulido, John </w:t>
      </w:r>
      <w:proofErr w:type="spellStart"/>
      <w:r w:rsidRPr="003663B9">
        <w:rPr>
          <w:sz w:val="26"/>
          <w:szCs w:val="26"/>
        </w:rPr>
        <w:t>Arley</w:t>
      </w:r>
      <w:proofErr w:type="spellEnd"/>
      <w:r w:rsidRPr="003663B9">
        <w:rPr>
          <w:sz w:val="26"/>
          <w:szCs w:val="26"/>
        </w:rPr>
        <w:t xml:space="preserve"> Murillo y Esteban Quintero; y por los Senadores de la República </w:t>
      </w:r>
      <w:proofErr w:type="spellStart"/>
      <w:r w:rsidRPr="003663B9">
        <w:rPr>
          <w:sz w:val="26"/>
          <w:szCs w:val="26"/>
        </w:rPr>
        <w:t>Roosvelt</w:t>
      </w:r>
      <w:proofErr w:type="spellEnd"/>
      <w:r w:rsidRPr="003663B9">
        <w:rPr>
          <w:sz w:val="26"/>
          <w:szCs w:val="26"/>
        </w:rPr>
        <w:t xml:space="preserve"> Rodríguez y José </w:t>
      </w:r>
      <w:proofErr w:type="spellStart"/>
      <w:r w:rsidRPr="003663B9">
        <w:rPr>
          <w:sz w:val="26"/>
          <w:szCs w:val="26"/>
        </w:rPr>
        <w:t>Ritter</w:t>
      </w:r>
      <w:proofErr w:type="spellEnd"/>
      <w:r w:rsidRPr="003663B9">
        <w:rPr>
          <w:sz w:val="26"/>
          <w:szCs w:val="26"/>
        </w:rPr>
        <w:t xml:space="preserve"> López; pero lastimosamente tampoco pudo ser discutido en la Comisión Primera de</w:t>
      </w:r>
      <w:r w:rsidR="006F409D" w:rsidRPr="003663B9">
        <w:rPr>
          <w:sz w:val="26"/>
          <w:szCs w:val="26"/>
        </w:rPr>
        <w:t>l Senado.</w:t>
      </w:r>
    </w:p>
    <w:p w:rsidR="006F409D" w:rsidRPr="003663B9" w:rsidRDefault="006F409D" w:rsidP="00B90CB0">
      <w:pPr>
        <w:spacing w:line="240" w:lineRule="auto"/>
        <w:jc w:val="both"/>
        <w:rPr>
          <w:sz w:val="26"/>
          <w:szCs w:val="26"/>
        </w:rPr>
      </w:pPr>
    </w:p>
    <w:p w:rsidR="00E05E5A" w:rsidRPr="003663B9" w:rsidRDefault="00BA6CBA" w:rsidP="00B90CB0">
      <w:pPr>
        <w:widowControl w:val="0"/>
        <w:shd w:val="clear" w:color="auto" w:fill="FFFFFF"/>
        <w:spacing w:line="240" w:lineRule="auto"/>
        <w:contextualSpacing w:val="0"/>
        <w:jc w:val="both"/>
        <w:rPr>
          <w:sz w:val="26"/>
          <w:szCs w:val="26"/>
          <w:lang w:val="es-ES"/>
        </w:rPr>
      </w:pPr>
      <w:r w:rsidRPr="003663B9">
        <w:rPr>
          <w:rFonts w:eastAsia="Calibri"/>
          <w:color w:val="000000" w:themeColor="text1"/>
          <w:sz w:val="26"/>
          <w:szCs w:val="26"/>
          <w:highlight w:val="white"/>
        </w:rPr>
        <w:t xml:space="preserve">Nuevamente </w:t>
      </w:r>
      <w:r w:rsidR="00A8254A" w:rsidRPr="003663B9">
        <w:rPr>
          <w:rFonts w:eastAsia="Calibri"/>
          <w:color w:val="000000" w:themeColor="text1"/>
          <w:sz w:val="26"/>
          <w:szCs w:val="26"/>
          <w:highlight w:val="white"/>
        </w:rPr>
        <w:t>es presentado</w:t>
      </w:r>
      <w:r w:rsidRPr="003663B9">
        <w:rPr>
          <w:rFonts w:eastAsia="Calibri"/>
          <w:color w:val="000000" w:themeColor="text1"/>
          <w:sz w:val="26"/>
          <w:szCs w:val="26"/>
          <w:highlight w:val="white"/>
        </w:rPr>
        <w:t xml:space="preserve"> el pasado </w:t>
      </w:r>
      <w:r w:rsidR="006F409D" w:rsidRPr="003663B9">
        <w:rPr>
          <w:rFonts w:eastAsia="Calibri"/>
          <w:color w:val="000000" w:themeColor="text1"/>
          <w:sz w:val="26"/>
          <w:szCs w:val="26"/>
          <w:highlight w:val="white"/>
        </w:rPr>
        <w:t>22</w:t>
      </w:r>
      <w:r w:rsidRPr="003663B9">
        <w:rPr>
          <w:rFonts w:eastAsia="Calibri"/>
          <w:color w:val="000000" w:themeColor="text1"/>
          <w:sz w:val="26"/>
          <w:szCs w:val="26"/>
          <w:highlight w:val="white"/>
        </w:rPr>
        <w:t xml:space="preserve"> de </w:t>
      </w:r>
      <w:r w:rsidR="006F409D" w:rsidRPr="003663B9">
        <w:rPr>
          <w:rFonts w:eastAsia="Calibri"/>
          <w:color w:val="000000" w:themeColor="text1"/>
          <w:sz w:val="26"/>
          <w:szCs w:val="26"/>
          <w:highlight w:val="white"/>
        </w:rPr>
        <w:t>julio</w:t>
      </w:r>
      <w:r w:rsidRPr="003663B9">
        <w:rPr>
          <w:rFonts w:eastAsia="Calibri"/>
          <w:color w:val="000000" w:themeColor="text1"/>
          <w:sz w:val="26"/>
          <w:szCs w:val="26"/>
          <w:highlight w:val="white"/>
        </w:rPr>
        <w:t xml:space="preserve"> de 20</w:t>
      </w:r>
      <w:r w:rsidR="006F409D" w:rsidRPr="003663B9">
        <w:rPr>
          <w:rFonts w:eastAsia="Calibri"/>
          <w:color w:val="000000" w:themeColor="text1"/>
          <w:sz w:val="26"/>
          <w:szCs w:val="26"/>
          <w:highlight w:val="white"/>
        </w:rPr>
        <w:t>20</w:t>
      </w:r>
      <w:r w:rsidRPr="003663B9">
        <w:rPr>
          <w:rFonts w:eastAsia="Calibri"/>
          <w:color w:val="000000" w:themeColor="text1"/>
          <w:sz w:val="26"/>
          <w:szCs w:val="26"/>
          <w:highlight w:val="white"/>
        </w:rPr>
        <w:t xml:space="preserve"> ante la Cámara de Represen</w:t>
      </w:r>
      <w:r w:rsidR="00E8135B" w:rsidRPr="003663B9">
        <w:rPr>
          <w:rFonts w:eastAsia="Calibri"/>
          <w:color w:val="000000" w:themeColor="text1"/>
          <w:sz w:val="26"/>
          <w:szCs w:val="26"/>
          <w:highlight w:val="white"/>
        </w:rPr>
        <w:t>ta</w:t>
      </w:r>
      <w:r w:rsidRPr="003663B9">
        <w:rPr>
          <w:rFonts w:eastAsia="Calibri"/>
          <w:color w:val="000000" w:themeColor="text1"/>
          <w:sz w:val="26"/>
          <w:szCs w:val="26"/>
          <w:highlight w:val="white"/>
        </w:rPr>
        <w:t>ntes</w:t>
      </w:r>
      <w:r w:rsidR="00E8135B" w:rsidRPr="003663B9">
        <w:rPr>
          <w:rFonts w:eastAsia="Calibri"/>
          <w:color w:val="000000" w:themeColor="text1"/>
          <w:sz w:val="26"/>
          <w:szCs w:val="26"/>
          <w:highlight w:val="white"/>
        </w:rPr>
        <w:t xml:space="preserve"> el cual quedo radicado como el </w:t>
      </w:r>
      <w:r w:rsidR="00E8135B" w:rsidRPr="003663B9">
        <w:rPr>
          <w:rFonts w:eastAsia="Calibri"/>
          <w:color w:val="000000" w:themeColor="text1"/>
          <w:sz w:val="26"/>
          <w:szCs w:val="26"/>
        </w:rPr>
        <w:t>Proyecto de</w:t>
      </w:r>
      <w:r w:rsidR="0032471E" w:rsidRPr="003663B9">
        <w:rPr>
          <w:rFonts w:eastAsia="Calibri"/>
          <w:b/>
          <w:color w:val="000000" w:themeColor="text1"/>
          <w:sz w:val="26"/>
          <w:szCs w:val="26"/>
        </w:rPr>
        <w:t xml:space="preserve"> </w:t>
      </w:r>
      <w:r w:rsidR="0032471E" w:rsidRPr="003663B9">
        <w:rPr>
          <w:rFonts w:eastAsia="Calibri"/>
          <w:color w:val="000000" w:themeColor="text1"/>
          <w:sz w:val="26"/>
          <w:szCs w:val="26"/>
        </w:rPr>
        <w:t>Ley</w:t>
      </w:r>
      <w:r w:rsidR="0032471E" w:rsidRPr="003663B9">
        <w:rPr>
          <w:b/>
          <w:sz w:val="26"/>
          <w:szCs w:val="26"/>
        </w:rPr>
        <w:t xml:space="preserve"> </w:t>
      </w:r>
      <w:r w:rsidR="0032471E" w:rsidRPr="003663B9">
        <w:rPr>
          <w:sz w:val="26"/>
          <w:szCs w:val="26"/>
        </w:rPr>
        <w:t>N° 243 de 2020</w:t>
      </w:r>
      <w:r w:rsidR="0032471E" w:rsidRPr="003663B9">
        <w:rPr>
          <w:b/>
          <w:sz w:val="26"/>
          <w:szCs w:val="26"/>
        </w:rPr>
        <w:t xml:space="preserve"> </w:t>
      </w:r>
      <w:r w:rsidR="0032471E" w:rsidRPr="003663B9">
        <w:rPr>
          <w:sz w:val="26"/>
          <w:szCs w:val="26"/>
        </w:rPr>
        <w:t>Cámara</w:t>
      </w:r>
      <w:r w:rsidR="00E8135B" w:rsidRPr="003663B9">
        <w:rPr>
          <w:b/>
          <w:sz w:val="26"/>
          <w:szCs w:val="26"/>
        </w:rPr>
        <w:t xml:space="preserve">, </w:t>
      </w:r>
      <w:r w:rsidR="00E8135B" w:rsidRPr="003663B9">
        <w:rPr>
          <w:sz w:val="26"/>
          <w:szCs w:val="26"/>
        </w:rPr>
        <w:t>de iniciativa de</w:t>
      </w:r>
      <w:r w:rsidR="00A8254A" w:rsidRPr="003663B9">
        <w:rPr>
          <w:rFonts w:eastAsia="Calibri"/>
          <w:color w:val="000000" w:themeColor="text1"/>
          <w:sz w:val="26"/>
          <w:szCs w:val="26"/>
          <w:highlight w:val="white"/>
        </w:rPr>
        <w:t xml:space="preserve"> los Representantes a la Cámara </w:t>
      </w:r>
      <w:r w:rsidR="0032471E" w:rsidRPr="003663B9">
        <w:rPr>
          <w:sz w:val="26"/>
          <w:szCs w:val="26"/>
        </w:rPr>
        <w:t xml:space="preserve">Jorge Eliécer Tamayo Marulanda, Luis Fernando Gómez </w:t>
      </w:r>
      <w:proofErr w:type="spellStart"/>
      <w:r w:rsidR="0032471E" w:rsidRPr="003663B9">
        <w:rPr>
          <w:sz w:val="26"/>
          <w:szCs w:val="26"/>
        </w:rPr>
        <w:t>Betancurt</w:t>
      </w:r>
      <w:proofErr w:type="spellEnd"/>
      <w:r w:rsidR="0032471E" w:rsidRPr="003663B9">
        <w:rPr>
          <w:sz w:val="26"/>
          <w:szCs w:val="26"/>
        </w:rPr>
        <w:t xml:space="preserve">, Martha Patricia Villalba </w:t>
      </w:r>
      <w:proofErr w:type="spellStart"/>
      <w:r w:rsidR="0032471E" w:rsidRPr="003663B9">
        <w:rPr>
          <w:sz w:val="26"/>
          <w:szCs w:val="26"/>
        </w:rPr>
        <w:t>Hodwalker</w:t>
      </w:r>
      <w:proofErr w:type="spellEnd"/>
      <w:r w:rsidR="0032471E" w:rsidRPr="003663B9">
        <w:rPr>
          <w:sz w:val="26"/>
          <w:szCs w:val="26"/>
        </w:rPr>
        <w:t xml:space="preserve">, Julián Peinado Ramírez, Norma Hurtado Sánchez, </w:t>
      </w:r>
      <w:proofErr w:type="spellStart"/>
      <w:r w:rsidR="0032471E" w:rsidRPr="003663B9">
        <w:rPr>
          <w:sz w:val="26"/>
          <w:szCs w:val="26"/>
        </w:rPr>
        <w:t>Elbert</w:t>
      </w:r>
      <w:proofErr w:type="spellEnd"/>
      <w:r w:rsidR="0032471E" w:rsidRPr="003663B9">
        <w:rPr>
          <w:sz w:val="26"/>
          <w:szCs w:val="26"/>
        </w:rPr>
        <w:t xml:space="preserve"> Díaz Lozano, Alejandro Alberto Vega Pérez, Oswaldo Arcos Benavides, </w:t>
      </w:r>
      <w:proofErr w:type="spellStart"/>
      <w:r w:rsidR="0032471E" w:rsidRPr="003663B9">
        <w:rPr>
          <w:sz w:val="26"/>
          <w:szCs w:val="26"/>
        </w:rPr>
        <w:t>Jhon</w:t>
      </w:r>
      <w:proofErr w:type="spellEnd"/>
      <w:r w:rsidR="0032471E" w:rsidRPr="003663B9">
        <w:rPr>
          <w:sz w:val="26"/>
          <w:szCs w:val="26"/>
        </w:rPr>
        <w:t xml:space="preserve"> </w:t>
      </w:r>
      <w:proofErr w:type="spellStart"/>
      <w:r w:rsidR="0032471E" w:rsidRPr="003663B9">
        <w:rPr>
          <w:sz w:val="26"/>
          <w:szCs w:val="26"/>
        </w:rPr>
        <w:t>Arley</w:t>
      </w:r>
      <w:proofErr w:type="spellEnd"/>
      <w:r w:rsidR="0032471E" w:rsidRPr="003663B9">
        <w:rPr>
          <w:sz w:val="26"/>
          <w:szCs w:val="26"/>
        </w:rPr>
        <w:t xml:space="preserve"> Murillo Benítez, Andrés David Calle Aguas, Jorge Méndez Hernández, John Jairo Cárdenas Moran, Luis Alberto Albán Urbano; y el Senador de la República Iván Darío Agudelo Zapata</w:t>
      </w:r>
      <w:r w:rsidR="00E05E5A" w:rsidRPr="003663B9">
        <w:rPr>
          <w:sz w:val="26"/>
          <w:szCs w:val="26"/>
          <w:lang w:val="es-ES"/>
        </w:rPr>
        <w:t>; y fue publicado en la Gaceta del Congreso N° 201 de 2019.</w:t>
      </w:r>
    </w:p>
    <w:p w:rsidR="00E05E5A" w:rsidRPr="003663B9" w:rsidRDefault="00E05E5A" w:rsidP="00B90CB0">
      <w:pPr>
        <w:widowControl w:val="0"/>
        <w:shd w:val="clear" w:color="auto" w:fill="FFFFFF"/>
        <w:spacing w:line="240" w:lineRule="auto"/>
        <w:contextualSpacing w:val="0"/>
        <w:jc w:val="both"/>
        <w:rPr>
          <w:sz w:val="26"/>
          <w:szCs w:val="26"/>
          <w:lang w:val="es-ES"/>
        </w:rPr>
      </w:pPr>
    </w:p>
    <w:p w:rsidR="00E05E5A" w:rsidRPr="003663B9" w:rsidRDefault="00E05E5A" w:rsidP="00B90CB0">
      <w:pPr>
        <w:widowControl w:val="0"/>
        <w:shd w:val="clear" w:color="auto" w:fill="FFFFFF"/>
        <w:spacing w:line="240" w:lineRule="auto"/>
        <w:contextualSpacing w:val="0"/>
        <w:jc w:val="both"/>
        <w:rPr>
          <w:rFonts w:eastAsia="Calibri"/>
          <w:color w:val="000000" w:themeColor="text1"/>
          <w:sz w:val="26"/>
          <w:szCs w:val="26"/>
          <w:highlight w:val="white"/>
        </w:rPr>
      </w:pPr>
      <w:r w:rsidRPr="003663B9">
        <w:rPr>
          <w:rFonts w:eastAsia="Calibri"/>
          <w:color w:val="000000" w:themeColor="text1"/>
          <w:sz w:val="26"/>
          <w:szCs w:val="26"/>
          <w:highlight w:val="white"/>
        </w:rPr>
        <w:t xml:space="preserve">Por designación de la Mesa Directiva de la Comisión Primera Constitucional de la Cámara y conforme a lo señalado en el artículo 174 de la Ley 5ª de 1992, el </w:t>
      </w:r>
      <w:r w:rsidR="0032471E" w:rsidRPr="003663B9">
        <w:rPr>
          <w:rFonts w:eastAsia="Calibri"/>
          <w:color w:val="000000" w:themeColor="text1"/>
          <w:sz w:val="26"/>
          <w:szCs w:val="26"/>
          <w:highlight w:val="white"/>
        </w:rPr>
        <w:t>8</w:t>
      </w:r>
      <w:r w:rsidRPr="003663B9">
        <w:rPr>
          <w:rFonts w:eastAsia="Calibri"/>
          <w:color w:val="000000" w:themeColor="text1"/>
          <w:sz w:val="26"/>
          <w:szCs w:val="26"/>
          <w:highlight w:val="white"/>
        </w:rPr>
        <w:t xml:space="preserve"> de </w:t>
      </w:r>
      <w:r w:rsidR="0032471E" w:rsidRPr="003663B9">
        <w:rPr>
          <w:rFonts w:eastAsia="Calibri"/>
          <w:color w:val="000000" w:themeColor="text1"/>
          <w:sz w:val="26"/>
          <w:szCs w:val="26"/>
          <w:highlight w:val="white"/>
        </w:rPr>
        <w:t>septiembre</w:t>
      </w:r>
      <w:r w:rsidR="00251138" w:rsidRPr="003663B9">
        <w:rPr>
          <w:rFonts w:eastAsia="Calibri"/>
          <w:color w:val="000000" w:themeColor="text1"/>
          <w:sz w:val="26"/>
          <w:szCs w:val="26"/>
          <w:highlight w:val="white"/>
        </w:rPr>
        <w:t xml:space="preserve"> de 20</w:t>
      </w:r>
      <w:r w:rsidR="0032471E" w:rsidRPr="003663B9">
        <w:rPr>
          <w:rFonts w:eastAsia="Calibri"/>
          <w:color w:val="000000" w:themeColor="text1"/>
          <w:sz w:val="26"/>
          <w:szCs w:val="26"/>
          <w:highlight w:val="white"/>
        </w:rPr>
        <w:t>20, fue</w:t>
      </w:r>
      <w:r w:rsidRPr="003663B9">
        <w:rPr>
          <w:rFonts w:eastAsia="Calibri"/>
          <w:color w:val="000000" w:themeColor="text1"/>
          <w:sz w:val="26"/>
          <w:szCs w:val="26"/>
          <w:highlight w:val="white"/>
        </w:rPr>
        <w:t xml:space="preserve"> designado como ponente único para primer debate</w:t>
      </w:r>
      <w:r w:rsidR="0032471E" w:rsidRPr="003663B9">
        <w:rPr>
          <w:rFonts w:eastAsia="Calibri"/>
          <w:color w:val="000000" w:themeColor="text1"/>
          <w:sz w:val="26"/>
          <w:szCs w:val="26"/>
          <w:highlight w:val="white"/>
        </w:rPr>
        <w:t xml:space="preserve"> </w:t>
      </w:r>
      <w:r w:rsidR="00251138" w:rsidRPr="003663B9">
        <w:rPr>
          <w:rFonts w:eastAsia="Calibri"/>
          <w:color w:val="000000" w:themeColor="text1"/>
          <w:sz w:val="26"/>
          <w:szCs w:val="26"/>
          <w:highlight w:val="white"/>
        </w:rPr>
        <w:t>el Representante a la Cámara Jorge Eliécer Tamayo</w:t>
      </w:r>
      <w:r w:rsidRPr="003663B9">
        <w:rPr>
          <w:rFonts w:eastAsia="Calibri"/>
          <w:color w:val="000000" w:themeColor="text1"/>
          <w:sz w:val="26"/>
          <w:szCs w:val="26"/>
          <w:highlight w:val="white"/>
        </w:rPr>
        <w:t>.</w:t>
      </w:r>
    </w:p>
    <w:p w:rsidR="00BB7156" w:rsidRPr="00CE0926" w:rsidRDefault="00BB7156" w:rsidP="00B90CB0">
      <w:pPr>
        <w:widowControl w:val="0"/>
        <w:shd w:val="clear" w:color="auto" w:fill="FFFFFF"/>
        <w:spacing w:line="240" w:lineRule="auto"/>
        <w:contextualSpacing w:val="0"/>
        <w:jc w:val="both"/>
        <w:rPr>
          <w:rFonts w:eastAsia="Calibri"/>
          <w:color w:val="000000" w:themeColor="text1"/>
          <w:sz w:val="24"/>
          <w:szCs w:val="26"/>
        </w:rPr>
      </w:pPr>
    </w:p>
    <w:p w:rsidR="00B50F88" w:rsidRPr="00CE0926" w:rsidRDefault="00B50F88" w:rsidP="00B90CB0">
      <w:pPr>
        <w:widowControl w:val="0"/>
        <w:shd w:val="clear" w:color="auto" w:fill="FFFFFF"/>
        <w:spacing w:line="240" w:lineRule="auto"/>
        <w:contextualSpacing w:val="0"/>
        <w:jc w:val="both"/>
        <w:rPr>
          <w:rFonts w:eastAsia="Calibri"/>
          <w:color w:val="000000" w:themeColor="text1"/>
          <w:sz w:val="24"/>
          <w:szCs w:val="26"/>
          <w:highlight w:val="white"/>
        </w:rPr>
      </w:pPr>
    </w:p>
    <w:p w:rsidR="00160819" w:rsidRPr="003663B9" w:rsidRDefault="006E6254" w:rsidP="00B90CB0">
      <w:pPr>
        <w:widowControl w:val="0"/>
        <w:shd w:val="clear" w:color="auto" w:fill="FFFFFF"/>
        <w:spacing w:line="240" w:lineRule="auto"/>
        <w:contextualSpacing w:val="0"/>
        <w:jc w:val="both"/>
        <w:rPr>
          <w:rFonts w:eastAsia="Calibri"/>
          <w:b/>
          <w:color w:val="000000" w:themeColor="text1"/>
          <w:sz w:val="26"/>
          <w:szCs w:val="26"/>
          <w:highlight w:val="white"/>
        </w:rPr>
      </w:pPr>
      <w:r w:rsidRPr="003663B9">
        <w:rPr>
          <w:rFonts w:eastAsia="Calibri"/>
          <w:b/>
          <w:color w:val="000000" w:themeColor="text1"/>
          <w:sz w:val="26"/>
          <w:szCs w:val="26"/>
          <w:highlight w:val="white"/>
        </w:rPr>
        <w:t>II. OBJETO DEL PROYECTO DE LE</w:t>
      </w:r>
      <w:r w:rsidR="0032471E" w:rsidRPr="003663B9">
        <w:rPr>
          <w:rFonts w:eastAsia="Calibri"/>
          <w:b/>
          <w:color w:val="000000" w:themeColor="text1"/>
          <w:sz w:val="26"/>
          <w:szCs w:val="26"/>
          <w:highlight w:val="white"/>
        </w:rPr>
        <w:t>Y</w:t>
      </w:r>
    </w:p>
    <w:p w:rsidR="00AA3F8F" w:rsidRPr="003663B9" w:rsidRDefault="00AA3F8F" w:rsidP="00B90CB0">
      <w:pPr>
        <w:widowControl w:val="0"/>
        <w:shd w:val="clear" w:color="auto" w:fill="FFFFFF"/>
        <w:spacing w:line="240" w:lineRule="auto"/>
        <w:contextualSpacing w:val="0"/>
        <w:jc w:val="both"/>
        <w:rPr>
          <w:rFonts w:eastAsia="Calibri"/>
          <w:color w:val="000000" w:themeColor="text1"/>
          <w:sz w:val="26"/>
          <w:szCs w:val="26"/>
          <w:highlight w:val="white"/>
        </w:rPr>
      </w:pPr>
    </w:p>
    <w:p w:rsidR="0032471E" w:rsidRPr="003663B9" w:rsidRDefault="0032471E" w:rsidP="00B90CB0">
      <w:pPr>
        <w:spacing w:line="240" w:lineRule="auto"/>
        <w:jc w:val="both"/>
        <w:rPr>
          <w:sz w:val="26"/>
          <w:szCs w:val="26"/>
        </w:rPr>
      </w:pPr>
      <w:r w:rsidRPr="003663B9">
        <w:rPr>
          <w:color w:val="000000"/>
          <w:sz w:val="26"/>
          <w:szCs w:val="26"/>
        </w:rPr>
        <w:t xml:space="preserve">El objeto del presente proyecto de ley es </w:t>
      </w:r>
      <w:r w:rsidRPr="003663B9">
        <w:rPr>
          <w:sz w:val="26"/>
          <w:szCs w:val="26"/>
        </w:rPr>
        <w:t xml:space="preserve">fijar los lineamientos para el proceso de adquisición de bienes inmuebles por prescripción adquisitiva por parte de las entidades territoriales, en donde han venido funcionando o prestando servicios los diferentes establecimientos públicos. </w:t>
      </w:r>
    </w:p>
    <w:p w:rsidR="003457C9" w:rsidRDefault="003457C9" w:rsidP="00B90CB0">
      <w:pPr>
        <w:widowControl w:val="0"/>
        <w:shd w:val="clear" w:color="auto" w:fill="FFFFFF"/>
        <w:spacing w:line="240" w:lineRule="auto"/>
        <w:contextualSpacing w:val="0"/>
        <w:jc w:val="both"/>
        <w:rPr>
          <w:rFonts w:eastAsia="Calibri"/>
          <w:color w:val="000000" w:themeColor="text1"/>
          <w:sz w:val="26"/>
          <w:szCs w:val="26"/>
          <w:highlight w:val="white"/>
        </w:rPr>
      </w:pPr>
    </w:p>
    <w:p w:rsidR="003663B9" w:rsidRPr="003663B9" w:rsidRDefault="003663B9" w:rsidP="00B90CB0">
      <w:pPr>
        <w:widowControl w:val="0"/>
        <w:shd w:val="clear" w:color="auto" w:fill="FFFFFF"/>
        <w:spacing w:line="240" w:lineRule="auto"/>
        <w:contextualSpacing w:val="0"/>
        <w:jc w:val="both"/>
        <w:rPr>
          <w:rFonts w:eastAsia="Calibri"/>
          <w:color w:val="000000" w:themeColor="text1"/>
          <w:sz w:val="26"/>
          <w:szCs w:val="26"/>
          <w:highlight w:val="white"/>
        </w:rPr>
      </w:pPr>
    </w:p>
    <w:p w:rsidR="00160819" w:rsidRPr="003663B9" w:rsidRDefault="006E6254" w:rsidP="00B90CB0">
      <w:pPr>
        <w:shd w:val="clear" w:color="auto" w:fill="FFFFFF"/>
        <w:spacing w:line="240" w:lineRule="auto"/>
        <w:contextualSpacing w:val="0"/>
        <w:jc w:val="both"/>
        <w:rPr>
          <w:rFonts w:eastAsia="Calibri"/>
          <w:b/>
          <w:color w:val="000000" w:themeColor="text1"/>
          <w:sz w:val="26"/>
          <w:szCs w:val="26"/>
          <w:highlight w:val="white"/>
        </w:rPr>
      </w:pPr>
      <w:r w:rsidRPr="003663B9">
        <w:rPr>
          <w:rFonts w:eastAsia="Calibri"/>
          <w:b/>
          <w:color w:val="000000" w:themeColor="text1"/>
          <w:sz w:val="26"/>
          <w:szCs w:val="26"/>
          <w:highlight w:val="white"/>
        </w:rPr>
        <w:t xml:space="preserve">III. </w:t>
      </w:r>
      <w:r w:rsidR="00C13168" w:rsidRPr="003663B9">
        <w:rPr>
          <w:rFonts w:eastAsia="Calibri"/>
          <w:b/>
          <w:color w:val="000000" w:themeColor="text1"/>
          <w:sz w:val="26"/>
          <w:szCs w:val="26"/>
          <w:highlight w:val="white"/>
        </w:rPr>
        <w:t>CONSIDERACIONES DE LOS AUTORES</w:t>
      </w:r>
      <w:r w:rsidRPr="003663B9">
        <w:rPr>
          <w:rFonts w:eastAsia="Calibri"/>
          <w:b/>
          <w:color w:val="000000" w:themeColor="text1"/>
          <w:sz w:val="26"/>
          <w:szCs w:val="26"/>
          <w:highlight w:val="white"/>
        </w:rPr>
        <w:t>.</w:t>
      </w:r>
    </w:p>
    <w:p w:rsidR="003457C9" w:rsidRPr="003663B9" w:rsidRDefault="003457C9" w:rsidP="00B90CB0">
      <w:pPr>
        <w:spacing w:line="240" w:lineRule="auto"/>
        <w:contextualSpacing w:val="0"/>
        <w:jc w:val="both"/>
        <w:rPr>
          <w:rFonts w:eastAsia="Calibri"/>
          <w:color w:val="000000" w:themeColor="text1"/>
          <w:sz w:val="26"/>
          <w:szCs w:val="26"/>
        </w:rPr>
      </w:pPr>
    </w:p>
    <w:p w:rsidR="0032471E" w:rsidRPr="003663B9" w:rsidRDefault="0032471E" w:rsidP="00B90CB0">
      <w:pPr>
        <w:pBdr>
          <w:top w:val="nil"/>
          <w:left w:val="nil"/>
          <w:bottom w:val="nil"/>
          <w:right w:val="nil"/>
          <w:between w:val="nil"/>
        </w:pBdr>
        <w:spacing w:line="240" w:lineRule="auto"/>
        <w:jc w:val="both"/>
        <w:rPr>
          <w:sz w:val="26"/>
          <w:szCs w:val="26"/>
        </w:rPr>
      </w:pPr>
      <w:r w:rsidRPr="003663B9">
        <w:rPr>
          <w:color w:val="000000"/>
          <w:sz w:val="26"/>
          <w:szCs w:val="26"/>
        </w:rPr>
        <w:t>Las entidades territoriales hoy día afrontan un problema común al no poder realizar inversiones frente a los predios donde funcionan sus establecimientos públicos y se prestan servicios en educación, salud</w:t>
      </w:r>
      <w:r w:rsidR="00A46927">
        <w:rPr>
          <w:color w:val="000000"/>
          <w:sz w:val="26"/>
          <w:szCs w:val="26"/>
        </w:rPr>
        <w:t>, deporte, recreación, esparcimiento</w:t>
      </w:r>
      <w:r w:rsidRPr="003663B9">
        <w:rPr>
          <w:color w:val="000000"/>
          <w:sz w:val="26"/>
          <w:szCs w:val="26"/>
        </w:rPr>
        <w:t xml:space="preserve"> y servicios públicos en general, esto en razón a que dichas entidades no cuentan con los documentos que acrediten la titularidad de los bienes inmuebles que han poseído. La ausencia de estos títulos se ha convertido en un inconveniente, toda vez</w:t>
      </w:r>
      <w:r w:rsidRPr="003663B9">
        <w:rPr>
          <w:sz w:val="26"/>
          <w:szCs w:val="26"/>
        </w:rPr>
        <w:t xml:space="preserve">, que es una prohibición de rango constitucional, ya que el artículo 355 de la Constitución Política es taxativa en establecer que ninguna de las ramas u órganos del poder público podrá decretar auxilios o donaciones en favor de personas naturales o jurídicas de derecho privado, lo que se traslada a ser un requisito habilitante para ser beneficiarios de recursos por parte del Gobierno Nacional, Departamental, Distrital y </w:t>
      </w:r>
      <w:r w:rsidR="00A46927">
        <w:rPr>
          <w:sz w:val="26"/>
          <w:szCs w:val="26"/>
        </w:rPr>
        <w:t>M</w:t>
      </w:r>
      <w:r w:rsidRPr="003663B9">
        <w:rPr>
          <w:sz w:val="26"/>
          <w:szCs w:val="26"/>
        </w:rPr>
        <w:t>unicipal; a través de los diferentes programas que manejan para la inversión en el mejoramiento de la infraestructura, la dotación, etc., pues la propiedad o titularidad de dichos predios no están a nombre de entidad alguna del Estado.</w:t>
      </w:r>
    </w:p>
    <w:p w:rsidR="0032471E" w:rsidRPr="003663B9" w:rsidRDefault="0032471E" w:rsidP="00B90CB0">
      <w:pPr>
        <w:pBdr>
          <w:top w:val="nil"/>
          <w:left w:val="nil"/>
          <w:bottom w:val="nil"/>
          <w:right w:val="nil"/>
          <w:between w:val="nil"/>
        </w:pBdr>
        <w:spacing w:line="240" w:lineRule="auto"/>
        <w:jc w:val="both"/>
        <w:rPr>
          <w:sz w:val="26"/>
          <w:szCs w:val="26"/>
        </w:rPr>
      </w:pPr>
    </w:p>
    <w:p w:rsidR="0032471E" w:rsidRPr="003663B9" w:rsidRDefault="0032471E" w:rsidP="00B90CB0">
      <w:pPr>
        <w:pBdr>
          <w:top w:val="nil"/>
          <w:left w:val="nil"/>
          <w:bottom w:val="nil"/>
          <w:right w:val="nil"/>
          <w:between w:val="nil"/>
        </w:pBdr>
        <w:spacing w:line="240" w:lineRule="auto"/>
        <w:jc w:val="both"/>
        <w:rPr>
          <w:sz w:val="26"/>
          <w:szCs w:val="26"/>
        </w:rPr>
      </w:pPr>
      <w:r w:rsidRPr="003663B9">
        <w:rPr>
          <w:sz w:val="26"/>
          <w:szCs w:val="26"/>
        </w:rPr>
        <w:t>En el sector educativo encontramos como requisito establecido la titularidad del terreno o del bien de conformidad con el artículo 6° de la Resolución N° 200 del 2015 del Ministerio de Educación Nacional para las Entidades Territoriales Certificadas; y para las Entidades Territoriales no Certificadas a través del parágrafo 2° del artículo 2° de la Resolución N° 10281 de 2016, modificada por la Resolución 12282 de 2019 del Ministerio de Educación Nacional.</w:t>
      </w:r>
    </w:p>
    <w:p w:rsidR="0032471E" w:rsidRPr="003663B9" w:rsidRDefault="0032471E" w:rsidP="00B90CB0">
      <w:pPr>
        <w:pBdr>
          <w:top w:val="nil"/>
          <w:left w:val="nil"/>
          <w:bottom w:val="nil"/>
          <w:right w:val="nil"/>
          <w:between w:val="nil"/>
        </w:pBdr>
        <w:spacing w:line="240" w:lineRule="auto"/>
        <w:jc w:val="both"/>
        <w:rPr>
          <w:sz w:val="26"/>
          <w:szCs w:val="26"/>
        </w:rPr>
      </w:pPr>
    </w:p>
    <w:p w:rsidR="0032471E" w:rsidRPr="003663B9" w:rsidRDefault="0032471E" w:rsidP="00B90CB0">
      <w:pPr>
        <w:pBdr>
          <w:top w:val="nil"/>
          <w:left w:val="nil"/>
          <w:bottom w:val="nil"/>
          <w:right w:val="nil"/>
          <w:between w:val="nil"/>
        </w:pBdr>
        <w:spacing w:line="240" w:lineRule="auto"/>
        <w:jc w:val="both"/>
        <w:rPr>
          <w:sz w:val="26"/>
          <w:szCs w:val="26"/>
        </w:rPr>
      </w:pPr>
      <w:r w:rsidRPr="003663B9">
        <w:rPr>
          <w:sz w:val="26"/>
          <w:szCs w:val="26"/>
        </w:rPr>
        <w:t>En el sector salud encontramos en la Guía Metodológica para la Formulación, Seguimiento y Evaluación de los Acuerdos de Gestión – Nivel Directivo</w:t>
      </w:r>
      <w:r w:rsidRPr="003663B9">
        <w:rPr>
          <w:sz w:val="26"/>
          <w:szCs w:val="26"/>
          <w:vertAlign w:val="superscript"/>
        </w:rPr>
        <w:footnoteReference w:id="1"/>
      </w:r>
      <w:r w:rsidRPr="003663B9">
        <w:rPr>
          <w:sz w:val="26"/>
          <w:szCs w:val="26"/>
        </w:rPr>
        <w:t>; como un documento adicional para la presentación de proyectos de inversión en infraestructura el certificado de libertad y tradición con una vigencia no mayor a tres (3) meses donde se demuestre la titularidad por parte de las ESE/Municipio y que no tenga limitaciones de dominio.</w:t>
      </w:r>
    </w:p>
    <w:p w:rsidR="0032471E" w:rsidRPr="003663B9" w:rsidRDefault="0032471E" w:rsidP="00B90CB0">
      <w:pPr>
        <w:pBdr>
          <w:top w:val="nil"/>
          <w:left w:val="nil"/>
          <w:bottom w:val="nil"/>
          <w:right w:val="nil"/>
          <w:between w:val="nil"/>
        </w:pBdr>
        <w:spacing w:line="240" w:lineRule="auto"/>
        <w:jc w:val="both"/>
        <w:rPr>
          <w:sz w:val="26"/>
          <w:szCs w:val="26"/>
        </w:rPr>
      </w:pPr>
    </w:p>
    <w:p w:rsidR="0032471E" w:rsidRPr="003663B9" w:rsidRDefault="0032471E" w:rsidP="00B90CB0">
      <w:pPr>
        <w:pBdr>
          <w:top w:val="nil"/>
          <w:left w:val="nil"/>
          <w:bottom w:val="nil"/>
          <w:right w:val="nil"/>
          <w:between w:val="nil"/>
        </w:pBdr>
        <w:spacing w:line="240" w:lineRule="auto"/>
        <w:jc w:val="both"/>
        <w:rPr>
          <w:sz w:val="26"/>
          <w:szCs w:val="26"/>
        </w:rPr>
      </w:pPr>
      <w:r w:rsidRPr="003663B9">
        <w:rPr>
          <w:sz w:val="26"/>
          <w:szCs w:val="26"/>
        </w:rPr>
        <w:t>En el sector depo</w:t>
      </w:r>
      <w:r w:rsidR="008C42B7">
        <w:rPr>
          <w:sz w:val="26"/>
          <w:szCs w:val="26"/>
        </w:rPr>
        <w:t>rte, encontramos que el</w:t>
      </w:r>
      <w:r w:rsidRPr="003663B9">
        <w:rPr>
          <w:sz w:val="26"/>
          <w:szCs w:val="26"/>
        </w:rPr>
        <w:t xml:space="preserve"> Ministerio del Deporte expidió la Resolución N° 601 de 2020, y en sus anexos técnicos se establecen los requisitos para proyectos de infraestructura deportiva en su numeral 2° “Parte General” en su ítem número 13.</w:t>
      </w:r>
    </w:p>
    <w:p w:rsidR="0032471E" w:rsidRPr="003663B9" w:rsidRDefault="0032471E" w:rsidP="00B90CB0">
      <w:pPr>
        <w:pBdr>
          <w:top w:val="nil"/>
          <w:left w:val="nil"/>
          <w:bottom w:val="nil"/>
          <w:right w:val="nil"/>
          <w:between w:val="nil"/>
        </w:pBdr>
        <w:spacing w:line="240" w:lineRule="auto"/>
        <w:jc w:val="both"/>
        <w:rPr>
          <w:sz w:val="26"/>
          <w:szCs w:val="26"/>
        </w:rPr>
      </w:pPr>
      <w:r w:rsidRPr="003663B9">
        <w:rPr>
          <w:sz w:val="26"/>
          <w:szCs w:val="26"/>
        </w:rPr>
        <w:t xml:space="preserve"> </w:t>
      </w:r>
    </w:p>
    <w:p w:rsidR="0032471E" w:rsidRPr="003663B9" w:rsidRDefault="0032471E" w:rsidP="00B90CB0">
      <w:pPr>
        <w:pBdr>
          <w:top w:val="nil"/>
          <w:left w:val="nil"/>
          <w:bottom w:val="nil"/>
          <w:right w:val="nil"/>
          <w:between w:val="nil"/>
        </w:pBdr>
        <w:spacing w:line="240" w:lineRule="auto"/>
        <w:jc w:val="both"/>
        <w:rPr>
          <w:color w:val="000000"/>
          <w:sz w:val="26"/>
          <w:szCs w:val="26"/>
        </w:rPr>
      </w:pPr>
      <w:r w:rsidRPr="003663B9">
        <w:rPr>
          <w:color w:val="000000"/>
          <w:sz w:val="26"/>
          <w:szCs w:val="26"/>
        </w:rPr>
        <w:t xml:space="preserve">En el eje cafetero, por ejemplo, y particularmente en Caldas, la falta de título o falsa tradición afecta a más de la mitad de las sedes escolares del área rural, según cifras de la Secretaría Departamental de Caldas, (SEDCALDAS), de 287 instituciones educativas oficiales, sólo 8 de ellas tienen título de propiedad, lo cual amplía la odiosa brecha en materia educativa y de garantía de derechos de niños, niñas y adolescentes entre población urbana y rural.  </w:t>
      </w:r>
    </w:p>
    <w:p w:rsidR="0032471E" w:rsidRPr="003663B9" w:rsidRDefault="0032471E" w:rsidP="00B90CB0">
      <w:pPr>
        <w:pBdr>
          <w:top w:val="nil"/>
          <w:left w:val="nil"/>
          <w:bottom w:val="nil"/>
          <w:right w:val="nil"/>
          <w:between w:val="nil"/>
        </w:pBdr>
        <w:spacing w:line="240" w:lineRule="auto"/>
        <w:jc w:val="both"/>
        <w:rPr>
          <w:color w:val="000000"/>
          <w:sz w:val="26"/>
          <w:szCs w:val="26"/>
        </w:rPr>
      </w:pPr>
    </w:p>
    <w:p w:rsidR="0032471E" w:rsidRPr="003663B9" w:rsidRDefault="0032471E" w:rsidP="00B90CB0">
      <w:pPr>
        <w:spacing w:line="240" w:lineRule="auto"/>
        <w:jc w:val="both"/>
        <w:rPr>
          <w:color w:val="000000"/>
          <w:sz w:val="26"/>
          <w:szCs w:val="26"/>
        </w:rPr>
      </w:pPr>
      <w:r w:rsidRPr="003663B9">
        <w:rPr>
          <w:color w:val="000000"/>
          <w:sz w:val="26"/>
          <w:szCs w:val="26"/>
        </w:rPr>
        <w:t xml:space="preserve">Cabe anotar que la legislación colombiana, tiene expresa prohibición para que quienes ejercen como ordenadores del gasto, inviertan recursos públicos en predios que no estén a nombre del Estado, esta razón es la que impide que el Estado invierta en infraestructura de las entidades públicas de las entidades territoriales. </w:t>
      </w:r>
    </w:p>
    <w:p w:rsidR="0032471E" w:rsidRPr="003663B9" w:rsidRDefault="0032471E" w:rsidP="00B90CB0">
      <w:pPr>
        <w:spacing w:line="240" w:lineRule="auto"/>
        <w:jc w:val="both"/>
        <w:rPr>
          <w:color w:val="000000"/>
          <w:sz w:val="26"/>
          <w:szCs w:val="26"/>
        </w:rPr>
      </w:pPr>
    </w:p>
    <w:p w:rsidR="0032471E" w:rsidRPr="003663B9" w:rsidRDefault="0032471E" w:rsidP="00B90CB0">
      <w:pPr>
        <w:spacing w:line="240" w:lineRule="auto"/>
        <w:jc w:val="both"/>
        <w:rPr>
          <w:color w:val="000000"/>
          <w:sz w:val="26"/>
          <w:szCs w:val="26"/>
        </w:rPr>
      </w:pPr>
      <w:r w:rsidRPr="003663B9">
        <w:rPr>
          <w:color w:val="000000"/>
          <w:sz w:val="26"/>
          <w:szCs w:val="26"/>
        </w:rPr>
        <w:t>Este proyecto ofrece una alternativa de titularización por prescripción en favor de entidades públicas, relativamente ágil, superando ese grave cuello de botella que no permite la correcta focalización del gasto en infraestructura escolar y social, en detrimento de los más pobres y vulnerables, en particular de quienes viven en el campo.</w:t>
      </w:r>
    </w:p>
    <w:p w:rsidR="0032471E" w:rsidRPr="003663B9" w:rsidRDefault="0032471E" w:rsidP="00B90CB0">
      <w:pPr>
        <w:spacing w:line="240" w:lineRule="auto"/>
        <w:jc w:val="both"/>
        <w:rPr>
          <w:color w:val="000000"/>
          <w:sz w:val="26"/>
          <w:szCs w:val="26"/>
        </w:rPr>
      </w:pPr>
    </w:p>
    <w:p w:rsidR="0032471E" w:rsidRPr="003663B9" w:rsidRDefault="0032471E" w:rsidP="00B90CB0">
      <w:pPr>
        <w:spacing w:line="240" w:lineRule="auto"/>
        <w:jc w:val="both"/>
        <w:rPr>
          <w:color w:val="000000"/>
          <w:sz w:val="26"/>
          <w:szCs w:val="26"/>
        </w:rPr>
      </w:pPr>
      <w:r w:rsidRPr="003663B9">
        <w:rPr>
          <w:color w:val="000000"/>
          <w:sz w:val="26"/>
          <w:szCs w:val="26"/>
        </w:rPr>
        <w:t>Según cifras de la Gobernación del Departamento de Caquetá, para el 2015 en su territorio tan sólo en el sector educación, contaban con 1000 predios de sedes educativas que se encontraban sin legalizar; razón por la cual tenían una gran problemática toda vez, que en la mayoría de las mismas se requieren</w:t>
      </w:r>
      <w:r w:rsidRPr="003663B9">
        <w:rPr>
          <w:b/>
          <w:color w:val="000000"/>
          <w:sz w:val="26"/>
          <w:szCs w:val="26"/>
        </w:rPr>
        <w:t xml:space="preserve"> </w:t>
      </w:r>
      <w:r w:rsidRPr="003663B9">
        <w:rPr>
          <w:color w:val="000000"/>
          <w:sz w:val="26"/>
          <w:szCs w:val="26"/>
        </w:rPr>
        <w:t>realizar intervenciones de mejora locativas; pero que por motivos legales no pueden realizar.</w:t>
      </w:r>
    </w:p>
    <w:p w:rsidR="00160819" w:rsidRPr="003663B9" w:rsidRDefault="00160819" w:rsidP="00AA3F8F">
      <w:pPr>
        <w:spacing w:line="240" w:lineRule="auto"/>
        <w:contextualSpacing w:val="0"/>
        <w:jc w:val="both"/>
        <w:rPr>
          <w:color w:val="000000" w:themeColor="text1"/>
          <w:sz w:val="26"/>
          <w:szCs w:val="26"/>
          <w:highlight w:val="yellow"/>
        </w:rPr>
      </w:pPr>
    </w:p>
    <w:p w:rsidR="00787A95" w:rsidRPr="003663B9" w:rsidRDefault="00787A95" w:rsidP="00AA3F8F">
      <w:pPr>
        <w:spacing w:line="240" w:lineRule="auto"/>
        <w:contextualSpacing w:val="0"/>
        <w:jc w:val="both"/>
        <w:rPr>
          <w:color w:val="000000" w:themeColor="text1"/>
          <w:sz w:val="26"/>
          <w:szCs w:val="26"/>
          <w:highlight w:val="yellow"/>
        </w:rPr>
      </w:pPr>
    </w:p>
    <w:p w:rsidR="00C13168" w:rsidRPr="003663B9" w:rsidRDefault="006E6254" w:rsidP="00AA3F8F">
      <w:pPr>
        <w:spacing w:line="240" w:lineRule="auto"/>
        <w:ind w:left="720"/>
        <w:contextualSpacing w:val="0"/>
        <w:jc w:val="both"/>
        <w:rPr>
          <w:rFonts w:eastAsia="Calibri"/>
          <w:b/>
          <w:color w:val="000000" w:themeColor="text1"/>
          <w:sz w:val="26"/>
          <w:szCs w:val="26"/>
        </w:rPr>
      </w:pPr>
      <w:r w:rsidRPr="003663B9">
        <w:rPr>
          <w:rFonts w:eastAsia="Calibri"/>
          <w:b/>
          <w:color w:val="000000" w:themeColor="text1"/>
          <w:sz w:val="26"/>
          <w:szCs w:val="26"/>
        </w:rPr>
        <w:t>IV.</w:t>
      </w:r>
      <w:r w:rsidR="00C13168" w:rsidRPr="003663B9">
        <w:rPr>
          <w:rFonts w:eastAsia="Calibri"/>
          <w:b/>
          <w:color w:val="000000" w:themeColor="text1"/>
          <w:sz w:val="26"/>
          <w:szCs w:val="26"/>
        </w:rPr>
        <w:t xml:space="preserve"> CONSIDERACIONES</w:t>
      </w:r>
      <w:r w:rsidRPr="003663B9">
        <w:rPr>
          <w:rFonts w:eastAsia="Calibri"/>
          <w:b/>
          <w:color w:val="000000" w:themeColor="text1"/>
          <w:sz w:val="26"/>
          <w:szCs w:val="26"/>
        </w:rPr>
        <w:t xml:space="preserve"> </w:t>
      </w:r>
      <w:r w:rsidR="00C13168" w:rsidRPr="003663B9">
        <w:rPr>
          <w:rFonts w:eastAsia="Calibri"/>
          <w:b/>
          <w:color w:val="000000" w:themeColor="text1"/>
          <w:sz w:val="26"/>
          <w:szCs w:val="26"/>
        </w:rPr>
        <w:t>DEL PONENTE</w:t>
      </w:r>
    </w:p>
    <w:p w:rsidR="00C13168" w:rsidRPr="004C04A5" w:rsidRDefault="00C13168" w:rsidP="00C13168">
      <w:pPr>
        <w:spacing w:line="240" w:lineRule="auto"/>
        <w:contextualSpacing w:val="0"/>
        <w:jc w:val="both"/>
        <w:rPr>
          <w:rFonts w:eastAsia="Calibri"/>
          <w:b/>
          <w:color w:val="000000" w:themeColor="text1"/>
          <w:sz w:val="24"/>
          <w:szCs w:val="26"/>
        </w:rPr>
      </w:pPr>
    </w:p>
    <w:p w:rsidR="009D6115" w:rsidRPr="003663B9" w:rsidRDefault="00820900" w:rsidP="00C13168">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Actualmente en Colombia existe la prohibición constitucional de realizar inversiones de recursos púbicos a personas naturales o privadas de conformidad con el artículo 355 de nuestra Constitución Política; es debido a esta prohibición que las diferentes Entidades Territoriales no han podido realizar los mejoramientos y adecuaciones de infraestructura en aquellos establecimientos como colegios, universidades, hospitales</w:t>
      </w:r>
      <w:r w:rsidR="000F20C9">
        <w:rPr>
          <w:rFonts w:eastAsia="Calibri"/>
          <w:color w:val="000000" w:themeColor="text1"/>
          <w:sz w:val="26"/>
          <w:szCs w:val="26"/>
        </w:rPr>
        <w:t>, puestos de salud</w:t>
      </w:r>
      <w:r w:rsidRPr="003663B9">
        <w:rPr>
          <w:rFonts w:eastAsia="Calibri"/>
          <w:color w:val="000000" w:themeColor="text1"/>
          <w:sz w:val="26"/>
          <w:szCs w:val="26"/>
        </w:rPr>
        <w:t xml:space="preserve"> y escenarios deportivos que se han construido en predios que no cuentan con la titularidad de la Entidad Territorial o del establecimiento o institución pública</w:t>
      </w:r>
      <w:r w:rsidR="009D6115" w:rsidRPr="003663B9">
        <w:rPr>
          <w:rFonts w:eastAsia="Calibri"/>
          <w:color w:val="000000" w:themeColor="text1"/>
          <w:sz w:val="26"/>
          <w:szCs w:val="26"/>
        </w:rPr>
        <w:t>.</w:t>
      </w:r>
    </w:p>
    <w:p w:rsidR="009D6115" w:rsidRPr="003663B9" w:rsidRDefault="009D6115" w:rsidP="00C13168">
      <w:pPr>
        <w:spacing w:line="240" w:lineRule="auto"/>
        <w:contextualSpacing w:val="0"/>
        <w:jc w:val="both"/>
        <w:rPr>
          <w:rFonts w:eastAsia="Calibri"/>
          <w:color w:val="000000" w:themeColor="text1"/>
          <w:sz w:val="26"/>
          <w:szCs w:val="26"/>
        </w:rPr>
      </w:pPr>
    </w:p>
    <w:p w:rsidR="0079558C" w:rsidRPr="003663B9" w:rsidRDefault="009D6115" w:rsidP="00C13168">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 xml:space="preserve">Según </w:t>
      </w:r>
      <w:r w:rsidR="00D276A9" w:rsidRPr="003663B9">
        <w:rPr>
          <w:rFonts w:eastAsia="Calibri"/>
          <w:color w:val="000000" w:themeColor="text1"/>
          <w:sz w:val="26"/>
          <w:szCs w:val="26"/>
        </w:rPr>
        <w:t xml:space="preserve">la información reportada en el </w:t>
      </w:r>
      <w:r w:rsidR="00D276A9" w:rsidRPr="003663B9">
        <w:rPr>
          <w:sz w:val="26"/>
          <w:szCs w:val="26"/>
        </w:rPr>
        <w:t xml:space="preserve">Directorio Único de Establecimientos Educativos (DUE) </w:t>
      </w:r>
      <w:r w:rsidRPr="003663B9">
        <w:rPr>
          <w:rFonts w:eastAsia="Calibri"/>
          <w:color w:val="000000" w:themeColor="text1"/>
          <w:sz w:val="26"/>
          <w:szCs w:val="26"/>
        </w:rPr>
        <w:t>del Ministerio de Educación</w:t>
      </w:r>
      <w:r w:rsidR="00D276A9" w:rsidRPr="003663B9">
        <w:rPr>
          <w:rFonts w:eastAsia="Calibri"/>
          <w:color w:val="000000" w:themeColor="text1"/>
          <w:sz w:val="26"/>
          <w:szCs w:val="26"/>
        </w:rPr>
        <w:t>, por parte de las diferentes Secretarias de Educación, a corte de junio de 2020 se contaban en Colombia 9.736 Instituciones Educativas Oficiales, que cuentan con 43.821 sedes; pero que en dicho reporte no se especifica la titularidad de los predios de instituciones educativas.</w:t>
      </w:r>
    </w:p>
    <w:p w:rsidR="0079558C" w:rsidRPr="003663B9" w:rsidRDefault="0079558C" w:rsidP="00C13168">
      <w:pPr>
        <w:spacing w:line="240" w:lineRule="auto"/>
        <w:contextualSpacing w:val="0"/>
        <w:jc w:val="both"/>
        <w:rPr>
          <w:rFonts w:eastAsia="Calibri"/>
          <w:color w:val="000000" w:themeColor="text1"/>
          <w:sz w:val="26"/>
          <w:szCs w:val="26"/>
        </w:rPr>
      </w:pPr>
    </w:p>
    <w:p w:rsidR="005B1FBB" w:rsidRPr="003663B9" w:rsidRDefault="008332A0" w:rsidP="00C13168">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Igualmente el Ministerio de Educación a través de comunicaci</w:t>
      </w:r>
      <w:r w:rsidR="00514ED6" w:rsidRPr="003663B9">
        <w:rPr>
          <w:rFonts w:eastAsia="Calibri"/>
          <w:color w:val="000000" w:themeColor="text1"/>
          <w:sz w:val="26"/>
          <w:szCs w:val="26"/>
        </w:rPr>
        <w:t>ón allegada</w:t>
      </w:r>
      <w:r w:rsidR="00514ED6" w:rsidRPr="003663B9">
        <w:rPr>
          <w:rStyle w:val="Refdenotaalpie"/>
          <w:rFonts w:eastAsia="Calibri"/>
          <w:color w:val="000000" w:themeColor="text1"/>
          <w:sz w:val="26"/>
          <w:szCs w:val="26"/>
        </w:rPr>
        <w:footnoteReference w:id="2"/>
      </w:r>
      <w:r w:rsidR="00BA5581" w:rsidRPr="003663B9">
        <w:rPr>
          <w:rFonts w:eastAsia="Calibri"/>
          <w:color w:val="000000" w:themeColor="text1"/>
          <w:sz w:val="26"/>
          <w:szCs w:val="26"/>
        </w:rPr>
        <w:t xml:space="preserve"> manifiesta que han realizado tres (3) grandes convocatorias</w:t>
      </w:r>
      <w:r w:rsidR="00FD5884" w:rsidRPr="003663B9">
        <w:rPr>
          <w:rFonts w:eastAsia="Calibri"/>
          <w:color w:val="000000" w:themeColor="text1"/>
          <w:sz w:val="26"/>
          <w:szCs w:val="26"/>
        </w:rPr>
        <w:t xml:space="preserve"> desde el año 2015</w:t>
      </w:r>
      <w:r w:rsidR="00BA5581" w:rsidRPr="003663B9">
        <w:rPr>
          <w:rFonts w:eastAsia="Calibri"/>
          <w:color w:val="000000" w:themeColor="text1"/>
          <w:sz w:val="26"/>
          <w:szCs w:val="26"/>
        </w:rPr>
        <w:t xml:space="preserve"> </w:t>
      </w:r>
      <w:r w:rsidR="00FD5884" w:rsidRPr="003663B9">
        <w:rPr>
          <w:rFonts w:eastAsia="Calibri"/>
          <w:color w:val="000000" w:themeColor="text1"/>
          <w:sz w:val="26"/>
          <w:szCs w:val="26"/>
        </w:rPr>
        <w:t xml:space="preserve">para la postulación de predios para la cofinanciación en donde las Entidades Territoriales Certificadas postulaban los predios que consideraban que requerían de </w:t>
      </w:r>
      <w:r w:rsidR="003B5883" w:rsidRPr="003663B9">
        <w:rPr>
          <w:rFonts w:eastAsia="Calibri"/>
          <w:color w:val="000000" w:themeColor="text1"/>
          <w:sz w:val="26"/>
          <w:szCs w:val="26"/>
        </w:rPr>
        <w:t>infraestructura educativa (construcción y/o mejoramiento)</w:t>
      </w:r>
      <w:r w:rsidR="003663B9" w:rsidRPr="003663B9">
        <w:rPr>
          <w:rFonts w:eastAsia="Calibri"/>
          <w:color w:val="000000" w:themeColor="text1"/>
          <w:sz w:val="26"/>
          <w:szCs w:val="26"/>
        </w:rPr>
        <w:t>; en donde se han rechazado algunos predios postulantes, por temas de viabilidad jurídica, entre ellos, titularidad de los predios postulados, en la respectivas convocatorias de la siguiente forma:</w:t>
      </w:r>
    </w:p>
    <w:p w:rsidR="003663B9" w:rsidRPr="003663B9" w:rsidRDefault="003663B9" w:rsidP="00C13168">
      <w:pPr>
        <w:spacing w:line="240" w:lineRule="auto"/>
        <w:contextualSpacing w:val="0"/>
        <w:jc w:val="both"/>
        <w:rPr>
          <w:rFonts w:eastAsia="Calibri"/>
          <w:color w:val="000000" w:themeColor="text1"/>
          <w:sz w:val="26"/>
          <w:szCs w:val="26"/>
        </w:rPr>
      </w:pPr>
    </w:p>
    <w:tbl>
      <w:tblPr>
        <w:tblStyle w:val="Tablaconcuadrcula"/>
        <w:tblW w:w="0" w:type="auto"/>
        <w:jc w:val="center"/>
        <w:tblLook w:val="04A0" w:firstRow="1" w:lastRow="0" w:firstColumn="1" w:lastColumn="0" w:noHBand="0" w:noVBand="1"/>
      </w:tblPr>
      <w:tblGrid>
        <w:gridCol w:w="3664"/>
        <w:gridCol w:w="2001"/>
        <w:gridCol w:w="1990"/>
        <w:gridCol w:w="1559"/>
      </w:tblGrid>
      <w:tr w:rsidR="00872D5F" w:rsidRPr="003663B9" w:rsidTr="00B90CB0">
        <w:trPr>
          <w:jc w:val="center"/>
        </w:trPr>
        <w:tc>
          <w:tcPr>
            <w:tcW w:w="3664" w:type="dxa"/>
          </w:tcPr>
          <w:p w:rsidR="00872D5F" w:rsidRPr="003663B9" w:rsidRDefault="00872D5F" w:rsidP="003663B9">
            <w:pPr>
              <w:contextualSpacing w:val="0"/>
              <w:jc w:val="center"/>
              <w:rPr>
                <w:rFonts w:ascii="Arial Narrow" w:eastAsia="Calibri" w:hAnsi="Arial Narrow"/>
                <w:b/>
                <w:color w:val="000000" w:themeColor="text1"/>
                <w:szCs w:val="26"/>
              </w:rPr>
            </w:pPr>
            <w:r>
              <w:rPr>
                <w:rFonts w:ascii="Arial Narrow" w:eastAsia="Calibri" w:hAnsi="Arial Narrow"/>
                <w:b/>
                <w:color w:val="000000" w:themeColor="text1"/>
                <w:szCs w:val="26"/>
              </w:rPr>
              <w:t>Convocatori</w:t>
            </w:r>
            <w:r w:rsidRPr="003663B9">
              <w:rPr>
                <w:rFonts w:ascii="Arial Narrow" w:eastAsia="Calibri" w:hAnsi="Arial Narrow"/>
                <w:b/>
                <w:color w:val="000000" w:themeColor="text1"/>
                <w:szCs w:val="26"/>
              </w:rPr>
              <w:t>a</w:t>
            </w:r>
          </w:p>
        </w:tc>
        <w:tc>
          <w:tcPr>
            <w:tcW w:w="2001" w:type="dxa"/>
          </w:tcPr>
          <w:p w:rsidR="00872D5F" w:rsidRPr="003663B9" w:rsidRDefault="00872D5F" w:rsidP="003663B9">
            <w:pPr>
              <w:contextualSpacing w:val="0"/>
              <w:jc w:val="center"/>
              <w:rPr>
                <w:rFonts w:ascii="Arial Narrow" w:eastAsia="Calibri" w:hAnsi="Arial Narrow"/>
                <w:b/>
                <w:color w:val="000000" w:themeColor="text1"/>
                <w:szCs w:val="26"/>
              </w:rPr>
            </w:pPr>
            <w:r w:rsidRPr="003663B9">
              <w:rPr>
                <w:rFonts w:ascii="Arial Narrow" w:eastAsia="Calibri" w:hAnsi="Arial Narrow"/>
                <w:b/>
                <w:color w:val="000000" w:themeColor="text1"/>
                <w:szCs w:val="26"/>
              </w:rPr>
              <w:t>Predios Postulados</w:t>
            </w:r>
          </w:p>
        </w:tc>
        <w:tc>
          <w:tcPr>
            <w:tcW w:w="1990" w:type="dxa"/>
          </w:tcPr>
          <w:p w:rsidR="00872D5F" w:rsidRPr="003663B9" w:rsidRDefault="00872D5F" w:rsidP="003663B9">
            <w:pPr>
              <w:contextualSpacing w:val="0"/>
              <w:jc w:val="center"/>
              <w:rPr>
                <w:rFonts w:ascii="Arial Narrow" w:eastAsia="Calibri" w:hAnsi="Arial Narrow"/>
                <w:b/>
                <w:color w:val="000000" w:themeColor="text1"/>
                <w:szCs w:val="26"/>
              </w:rPr>
            </w:pPr>
            <w:r w:rsidRPr="003663B9">
              <w:rPr>
                <w:rFonts w:ascii="Arial Narrow" w:eastAsia="Calibri" w:hAnsi="Arial Narrow"/>
                <w:b/>
                <w:color w:val="000000" w:themeColor="text1"/>
                <w:szCs w:val="26"/>
              </w:rPr>
              <w:t>Predios Rechazados</w:t>
            </w:r>
          </w:p>
        </w:tc>
        <w:tc>
          <w:tcPr>
            <w:tcW w:w="1559" w:type="dxa"/>
          </w:tcPr>
          <w:p w:rsidR="00872D5F" w:rsidRPr="003663B9" w:rsidRDefault="00872D5F" w:rsidP="003663B9">
            <w:pPr>
              <w:contextualSpacing w:val="0"/>
              <w:jc w:val="center"/>
              <w:rPr>
                <w:rFonts w:ascii="Arial Narrow" w:eastAsia="Calibri" w:hAnsi="Arial Narrow"/>
                <w:b/>
                <w:color w:val="000000" w:themeColor="text1"/>
                <w:szCs w:val="26"/>
              </w:rPr>
            </w:pPr>
            <w:r>
              <w:rPr>
                <w:rFonts w:ascii="Arial Narrow" w:eastAsia="Calibri" w:hAnsi="Arial Narrow"/>
                <w:b/>
                <w:color w:val="000000" w:themeColor="text1"/>
                <w:szCs w:val="26"/>
              </w:rPr>
              <w:t>% de Rechazo</w:t>
            </w:r>
          </w:p>
        </w:tc>
      </w:tr>
      <w:tr w:rsidR="00872D5F" w:rsidRPr="00872D5F" w:rsidTr="00B90CB0">
        <w:trPr>
          <w:jc w:val="center"/>
        </w:trPr>
        <w:tc>
          <w:tcPr>
            <w:tcW w:w="3664" w:type="dxa"/>
          </w:tcPr>
          <w:p w:rsidR="00872D5F" w:rsidRPr="00872D5F" w:rsidRDefault="00872D5F" w:rsidP="003663B9">
            <w:pPr>
              <w:contextualSpacing w:val="0"/>
              <w:jc w:val="both"/>
              <w:rPr>
                <w:rFonts w:ascii="Arial Narrow" w:eastAsia="Calibri" w:hAnsi="Arial Narrow"/>
                <w:color w:val="000000" w:themeColor="text1"/>
                <w:sz w:val="20"/>
                <w:szCs w:val="26"/>
              </w:rPr>
            </w:pPr>
            <w:r w:rsidRPr="00872D5F">
              <w:rPr>
                <w:rFonts w:ascii="Arial Narrow" w:eastAsia="Calibri" w:hAnsi="Arial Narrow"/>
                <w:color w:val="000000" w:themeColor="text1"/>
                <w:sz w:val="20"/>
                <w:szCs w:val="26"/>
              </w:rPr>
              <w:t xml:space="preserve">2015 – 2016 </w:t>
            </w:r>
            <w:r w:rsidRPr="00872D5F">
              <w:rPr>
                <w:rFonts w:ascii="Arial Narrow" w:hAnsi="Arial Narrow"/>
                <w:sz w:val="20"/>
              </w:rPr>
              <w:t>Construcción o ampliación de infraestructura educativa para sedes rurales o urbanas</w:t>
            </w:r>
          </w:p>
        </w:tc>
        <w:tc>
          <w:tcPr>
            <w:tcW w:w="2001" w:type="dxa"/>
            <w:vAlign w:val="center"/>
          </w:tcPr>
          <w:p w:rsidR="00872D5F" w:rsidRPr="00872D5F" w:rsidRDefault="00872D5F" w:rsidP="003663B9">
            <w:pPr>
              <w:contextualSpacing w:val="0"/>
              <w:jc w:val="center"/>
              <w:rPr>
                <w:rFonts w:ascii="Arial Narrow" w:eastAsia="Calibri" w:hAnsi="Arial Narrow"/>
                <w:b/>
                <w:color w:val="000000" w:themeColor="text1"/>
                <w:sz w:val="20"/>
                <w:szCs w:val="26"/>
              </w:rPr>
            </w:pPr>
            <w:r w:rsidRPr="00872D5F">
              <w:rPr>
                <w:rFonts w:ascii="Arial Narrow" w:eastAsia="Calibri" w:hAnsi="Arial Narrow"/>
                <w:b/>
                <w:color w:val="000000" w:themeColor="text1"/>
                <w:sz w:val="20"/>
                <w:szCs w:val="26"/>
              </w:rPr>
              <w:t>4.885</w:t>
            </w:r>
          </w:p>
        </w:tc>
        <w:tc>
          <w:tcPr>
            <w:tcW w:w="1990" w:type="dxa"/>
            <w:vAlign w:val="center"/>
          </w:tcPr>
          <w:p w:rsidR="00872D5F" w:rsidRPr="00872D5F" w:rsidRDefault="00872D5F" w:rsidP="003663B9">
            <w:pPr>
              <w:contextualSpacing w:val="0"/>
              <w:jc w:val="center"/>
              <w:rPr>
                <w:rFonts w:ascii="Arial Narrow" w:eastAsia="Calibri" w:hAnsi="Arial Narrow"/>
                <w:b/>
                <w:color w:val="000000" w:themeColor="text1"/>
                <w:sz w:val="20"/>
                <w:szCs w:val="26"/>
              </w:rPr>
            </w:pPr>
            <w:r w:rsidRPr="00872D5F">
              <w:rPr>
                <w:rFonts w:ascii="Arial Narrow" w:eastAsia="Calibri" w:hAnsi="Arial Narrow"/>
                <w:b/>
                <w:color w:val="000000" w:themeColor="text1"/>
                <w:sz w:val="20"/>
                <w:szCs w:val="26"/>
              </w:rPr>
              <w:t>2.021</w:t>
            </w:r>
          </w:p>
        </w:tc>
        <w:tc>
          <w:tcPr>
            <w:tcW w:w="1559" w:type="dxa"/>
            <w:vAlign w:val="center"/>
          </w:tcPr>
          <w:p w:rsidR="00872D5F" w:rsidRPr="00872D5F" w:rsidRDefault="00872D5F" w:rsidP="003663B9">
            <w:pPr>
              <w:contextualSpacing w:val="0"/>
              <w:jc w:val="center"/>
              <w:rPr>
                <w:rFonts w:ascii="Arial Narrow" w:eastAsia="Calibri" w:hAnsi="Arial Narrow"/>
                <w:b/>
                <w:color w:val="000000" w:themeColor="text1"/>
                <w:sz w:val="20"/>
                <w:szCs w:val="26"/>
              </w:rPr>
            </w:pPr>
            <w:r>
              <w:rPr>
                <w:rFonts w:ascii="Arial Narrow" w:eastAsia="Calibri" w:hAnsi="Arial Narrow"/>
                <w:b/>
                <w:color w:val="000000" w:themeColor="text1"/>
                <w:sz w:val="20"/>
                <w:szCs w:val="26"/>
              </w:rPr>
              <w:t>41,37%</w:t>
            </w:r>
          </w:p>
        </w:tc>
      </w:tr>
      <w:tr w:rsidR="00872D5F" w:rsidRPr="00872D5F" w:rsidTr="00B90CB0">
        <w:trPr>
          <w:jc w:val="center"/>
        </w:trPr>
        <w:tc>
          <w:tcPr>
            <w:tcW w:w="3664" w:type="dxa"/>
          </w:tcPr>
          <w:p w:rsidR="00872D5F" w:rsidRPr="00872D5F" w:rsidRDefault="00872D5F" w:rsidP="00872D5F">
            <w:pPr>
              <w:contextualSpacing w:val="0"/>
              <w:jc w:val="both"/>
              <w:rPr>
                <w:rFonts w:ascii="Arial Narrow" w:eastAsia="Calibri" w:hAnsi="Arial Narrow"/>
                <w:color w:val="000000" w:themeColor="text1"/>
                <w:sz w:val="20"/>
                <w:szCs w:val="26"/>
              </w:rPr>
            </w:pPr>
            <w:r w:rsidRPr="00872D5F">
              <w:rPr>
                <w:rFonts w:ascii="Arial Narrow" w:hAnsi="Arial Narrow"/>
                <w:sz w:val="20"/>
              </w:rPr>
              <w:t>Manos a la Escuela II para mejoramiento de infraestructura rural para municipios con Programas de Desarrollo con Enfoque Territorial (PDET)</w:t>
            </w:r>
            <w:r>
              <w:rPr>
                <w:rFonts w:ascii="Arial Narrow" w:hAnsi="Arial Narrow"/>
                <w:sz w:val="20"/>
              </w:rPr>
              <w:t>. (2017)</w:t>
            </w:r>
          </w:p>
        </w:tc>
        <w:tc>
          <w:tcPr>
            <w:tcW w:w="2001" w:type="dxa"/>
            <w:vAlign w:val="center"/>
          </w:tcPr>
          <w:p w:rsidR="00872D5F" w:rsidRPr="00872D5F" w:rsidRDefault="00872D5F" w:rsidP="003663B9">
            <w:pPr>
              <w:contextualSpacing w:val="0"/>
              <w:jc w:val="center"/>
              <w:rPr>
                <w:rFonts w:ascii="Arial Narrow" w:eastAsia="Calibri" w:hAnsi="Arial Narrow"/>
                <w:b/>
                <w:color w:val="000000" w:themeColor="text1"/>
                <w:sz w:val="20"/>
                <w:szCs w:val="26"/>
              </w:rPr>
            </w:pPr>
            <w:r>
              <w:rPr>
                <w:rFonts w:ascii="Arial Narrow" w:eastAsia="Calibri" w:hAnsi="Arial Narrow"/>
                <w:b/>
                <w:color w:val="000000" w:themeColor="text1"/>
                <w:sz w:val="20"/>
                <w:szCs w:val="26"/>
              </w:rPr>
              <w:t>1.596</w:t>
            </w:r>
          </w:p>
        </w:tc>
        <w:tc>
          <w:tcPr>
            <w:tcW w:w="1990" w:type="dxa"/>
            <w:vAlign w:val="center"/>
          </w:tcPr>
          <w:p w:rsidR="00872D5F" w:rsidRPr="00872D5F" w:rsidRDefault="00872D5F" w:rsidP="003663B9">
            <w:pPr>
              <w:contextualSpacing w:val="0"/>
              <w:jc w:val="center"/>
              <w:rPr>
                <w:rFonts w:ascii="Arial Narrow" w:eastAsia="Calibri" w:hAnsi="Arial Narrow"/>
                <w:b/>
                <w:color w:val="000000" w:themeColor="text1"/>
                <w:sz w:val="20"/>
                <w:szCs w:val="26"/>
              </w:rPr>
            </w:pPr>
            <w:r>
              <w:rPr>
                <w:rFonts w:ascii="Arial Narrow" w:eastAsia="Calibri" w:hAnsi="Arial Narrow"/>
                <w:b/>
                <w:color w:val="000000" w:themeColor="text1"/>
                <w:sz w:val="20"/>
                <w:szCs w:val="26"/>
              </w:rPr>
              <w:t>886</w:t>
            </w:r>
          </w:p>
        </w:tc>
        <w:tc>
          <w:tcPr>
            <w:tcW w:w="1559" w:type="dxa"/>
            <w:vAlign w:val="center"/>
          </w:tcPr>
          <w:p w:rsidR="00872D5F" w:rsidRDefault="00872D5F" w:rsidP="003663B9">
            <w:pPr>
              <w:contextualSpacing w:val="0"/>
              <w:jc w:val="center"/>
              <w:rPr>
                <w:rFonts w:ascii="Arial Narrow" w:eastAsia="Calibri" w:hAnsi="Arial Narrow"/>
                <w:b/>
                <w:color w:val="000000" w:themeColor="text1"/>
                <w:sz w:val="20"/>
                <w:szCs w:val="26"/>
              </w:rPr>
            </w:pPr>
            <w:r>
              <w:rPr>
                <w:rFonts w:ascii="Arial Narrow" w:eastAsia="Calibri" w:hAnsi="Arial Narrow"/>
                <w:b/>
                <w:color w:val="000000" w:themeColor="text1"/>
                <w:sz w:val="20"/>
                <w:szCs w:val="26"/>
              </w:rPr>
              <w:t>55,51%</w:t>
            </w:r>
          </w:p>
        </w:tc>
      </w:tr>
      <w:tr w:rsidR="00872D5F" w:rsidRPr="00872D5F" w:rsidTr="00B90CB0">
        <w:trPr>
          <w:jc w:val="center"/>
        </w:trPr>
        <w:tc>
          <w:tcPr>
            <w:tcW w:w="3664" w:type="dxa"/>
          </w:tcPr>
          <w:p w:rsidR="00872D5F" w:rsidRPr="00872D5F" w:rsidRDefault="00872D5F" w:rsidP="00872D5F">
            <w:pPr>
              <w:contextualSpacing w:val="0"/>
              <w:jc w:val="both"/>
              <w:rPr>
                <w:rFonts w:ascii="Arial Narrow" w:eastAsia="Calibri" w:hAnsi="Arial Narrow"/>
                <w:color w:val="000000" w:themeColor="text1"/>
                <w:sz w:val="20"/>
                <w:szCs w:val="26"/>
              </w:rPr>
            </w:pPr>
            <w:r>
              <w:rPr>
                <w:rFonts w:ascii="Arial Narrow" w:hAnsi="Arial Narrow"/>
                <w:sz w:val="20"/>
              </w:rPr>
              <w:t>M</w:t>
            </w:r>
            <w:r w:rsidRPr="00872D5F">
              <w:rPr>
                <w:rFonts w:ascii="Arial Narrow" w:hAnsi="Arial Narrow"/>
                <w:sz w:val="20"/>
              </w:rPr>
              <w:t xml:space="preserve">ejoramiento de </w:t>
            </w:r>
            <w:r>
              <w:rPr>
                <w:rFonts w:ascii="Arial Narrow" w:hAnsi="Arial Narrow"/>
                <w:sz w:val="20"/>
              </w:rPr>
              <w:t>infraestructura educativa rural. (2019)</w:t>
            </w:r>
          </w:p>
        </w:tc>
        <w:tc>
          <w:tcPr>
            <w:tcW w:w="2001" w:type="dxa"/>
            <w:vAlign w:val="center"/>
          </w:tcPr>
          <w:p w:rsidR="00872D5F" w:rsidRPr="00872D5F" w:rsidRDefault="00872D5F" w:rsidP="003663B9">
            <w:pPr>
              <w:contextualSpacing w:val="0"/>
              <w:jc w:val="center"/>
              <w:rPr>
                <w:rFonts w:ascii="Arial Narrow" w:eastAsia="Calibri" w:hAnsi="Arial Narrow"/>
                <w:b/>
                <w:color w:val="000000" w:themeColor="text1"/>
                <w:sz w:val="20"/>
                <w:szCs w:val="26"/>
              </w:rPr>
            </w:pPr>
            <w:r>
              <w:rPr>
                <w:rFonts w:ascii="Arial Narrow" w:eastAsia="Calibri" w:hAnsi="Arial Narrow"/>
                <w:b/>
                <w:color w:val="000000" w:themeColor="text1"/>
                <w:sz w:val="20"/>
                <w:szCs w:val="26"/>
              </w:rPr>
              <w:t>4.501</w:t>
            </w:r>
          </w:p>
        </w:tc>
        <w:tc>
          <w:tcPr>
            <w:tcW w:w="1990" w:type="dxa"/>
            <w:vAlign w:val="center"/>
          </w:tcPr>
          <w:p w:rsidR="00872D5F" w:rsidRPr="00872D5F" w:rsidRDefault="00872D5F" w:rsidP="003663B9">
            <w:pPr>
              <w:contextualSpacing w:val="0"/>
              <w:jc w:val="center"/>
              <w:rPr>
                <w:rFonts w:ascii="Arial Narrow" w:eastAsia="Calibri" w:hAnsi="Arial Narrow"/>
                <w:b/>
                <w:color w:val="000000" w:themeColor="text1"/>
                <w:sz w:val="20"/>
                <w:szCs w:val="26"/>
              </w:rPr>
            </w:pPr>
            <w:r>
              <w:rPr>
                <w:rFonts w:ascii="Arial Narrow" w:eastAsia="Calibri" w:hAnsi="Arial Narrow"/>
                <w:b/>
                <w:color w:val="000000" w:themeColor="text1"/>
                <w:sz w:val="20"/>
                <w:szCs w:val="26"/>
              </w:rPr>
              <w:t>1.405</w:t>
            </w:r>
          </w:p>
        </w:tc>
        <w:tc>
          <w:tcPr>
            <w:tcW w:w="1559" w:type="dxa"/>
            <w:vAlign w:val="center"/>
          </w:tcPr>
          <w:p w:rsidR="00872D5F" w:rsidRDefault="00872D5F" w:rsidP="003663B9">
            <w:pPr>
              <w:contextualSpacing w:val="0"/>
              <w:jc w:val="center"/>
              <w:rPr>
                <w:rFonts w:ascii="Arial Narrow" w:eastAsia="Calibri" w:hAnsi="Arial Narrow"/>
                <w:b/>
                <w:color w:val="000000" w:themeColor="text1"/>
                <w:sz w:val="20"/>
                <w:szCs w:val="26"/>
              </w:rPr>
            </w:pPr>
            <w:r>
              <w:rPr>
                <w:rFonts w:ascii="Arial Narrow" w:eastAsia="Calibri" w:hAnsi="Arial Narrow"/>
                <w:b/>
                <w:color w:val="000000" w:themeColor="text1"/>
                <w:sz w:val="20"/>
                <w:szCs w:val="26"/>
              </w:rPr>
              <w:t>31,22%</w:t>
            </w:r>
          </w:p>
        </w:tc>
      </w:tr>
      <w:tr w:rsidR="00872D5F" w:rsidRPr="003663B9" w:rsidTr="00B90CB0">
        <w:trPr>
          <w:jc w:val="center"/>
        </w:trPr>
        <w:tc>
          <w:tcPr>
            <w:tcW w:w="3664" w:type="dxa"/>
          </w:tcPr>
          <w:p w:rsidR="00872D5F" w:rsidRPr="003663B9" w:rsidRDefault="00872D5F" w:rsidP="003663B9">
            <w:pPr>
              <w:contextualSpacing w:val="0"/>
              <w:jc w:val="both"/>
              <w:rPr>
                <w:rFonts w:ascii="Arial Narrow" w:eastAsia="Calibri" w:hAnsi="Arial Narrow"/>
                <w:b/>
                <w:color w:val="000000" w:themeColor="text1"/>
                <w:szCs w:val="26"/>
              </w:rPr>
            </w:pPr>
            <w:r w:rsidRPr="003663B9">
              <w:rPr>
                <w:rFonts w:ascii="Arial Narrow" w:eastAsia="Calibri" w:hAnsi="Arial Narrow"/>
                <w:b/>
                <w:color w:val="000000" w:themeColor="text1"/>
                <w:szCs w:val="26"/>
              </w:rPr>
              <w:t>TOTALES</w:t>
            </w:r>
          </w:p>
        </w:tc>
        <w:tc>
          <w:tcPr>
            <w:tcW w:w="2001" w:type="dxa"/>
            <w:vAlign w:val="center"/>
          </w:tcPr>
          <w:p w:rsidR="00872D5F" w:rsidRPr="00872D5F" w:rsidRDefault="00872D5F" w:rsidP="00872D5F">
            <w:pPr>
              <w:contextualSpacing w:val="0"/>
              <w:jc w:val="center"/>
              <w:rPr>
                <w:rFonts w:ascii="Arial Narrow" w:eastAsia="Calibri" w:hAnsi="Arial Narrow"/>
                <w:b/>
                <w:color w:val="000000" w:themeColor="text1"/>
                <w:szCs w:val="26"/>
              </w:rPr>
            </w:pPr>
            <w:r>
              <w:rPr>
                <w:rFonts w:ascii="Arial Narrow" w:eastAsia="Calibri" w:hAnsi="Arial Narrow"/>
                <w:b/>
                <w:color w:val="000000" w:themeColor="text1"/>
                <w:szCs w:val="26"/>
              </w:rPr>
              <w:t>10.982</w:t>
            </w:r>
          </w:p>
        </w:tc>
        <w:tc>
          <w:tcPr>
            <w:tcW w:w="1990" w:type="dxa"/>
            <w:vAlign w:val="center"/>
          </w:tcPr>
          <w:p w:rsidR="00872D5F" w:rsidRPr="00872D5F" w:rsidRDefault="00872D5F" w:rsidP="00872D5F">
            <w:pPr>
              <w:contextualSpacing w:val="0"/>
              <w:jc w:val="center"/>
              <w:rPr>
                <w:rFonts w:ascii="Arial Narrow" w:eastAsia="Calibri" w:hAnsi="Arial Narrow"/>
                <w:b/>
                <w:color w:val="000000" w:themeColor="text1"/>
                <w:szCs w:val="26"/>
              </w:rPr>
            </w:pPr>
            <w:r>
              <w:rPr>
                <w:rFonts w:ascii="Arial Narrow" w:eastAsia="Calibri" w:hAnsi="Arial Narrow"/>
                <w:b/>
                <w:color w:val="000000" w:themeColor="text1"/>
                <w:szCs w:val="26"/>
              </w:rPr>
              <w:t>4311</w:t>
            </w:r>
          </w:p>
        </w:tc>
        <w:tc>
          <w:tcPr>
            <w:tcW w:w="1559" w:type="dxa"/>
            <w:vAlign w:val="center"/>
          </w:tcPr>
          <w:p w:rsidR="00872D5F" w:rsidRPr="00872D5F" w:rsidRDefault="00872D5F" w:rsidP="00872D5F">
            <w:pPr>
              <w:contextualSpacing w:val="0"/>
              <w:jc w:val="center"/>
              <w:rPr>
                <w:rFonts w:ascii="Arial Narrow" w:eastAsia="Calibri" w:hAnsi="Arial Narrow"/>
                <w:b/>
                <w:color w:val="000000" w:themeColor="text1"/>
                <w:szCs w:val="26"/>
              </w:rPr>
            </w:pPr>
            <w:r>
              <w:rPr>
                <w:rFonts w:ascii="Arial Narrow" w:eastAsia="Calibri" w:hAnsi="Arial Narrow"/>
                <w:b/>
                <w:color w:val="000000" w:themeColor="text1"/>
                <w:szCs w:val="26"/>
              </w:rPr>
              <w:t>39,26%</w:t>
            </w:r>
          </w:p>
        </w:tc>
      </w:tr>
    </w:tbl>
    <w:p w:rsidR="003663B9" w:rsidRPr="003663B9" w:rsidRDefault="003663B9" w:rsidP="003663B9">
      <w:pPr>
        <w:spacing w:line="240" w:lineRule="auto"/>
        <w:contextualSpacing w:val="0"/>
        <w:jc w:val="center"/>
        <w:rPr>
          <w:rFonts w:eastAsia="Calibri"/>
          <w:b/>
          <w:color w:val="000000" w:themeColor="text1"/>
          <w:sz w:val="16"/>
          <w:szCs w:val="26"/>
        </w:rPr>
      </w:pPr>
      <w:r w:rsidRPr="003663B9">
        <w:rPr>
          <w:rFonts w:eastAsia="Calibri"/>
          <w:b/>
          <w:color w:val="000000" w:themeColor="text1"/>
          <w:sz w:val="16"/>
          <w:szCs w:val="26"/>
        </w:rPr>
        <w:t>Fuente: Elaboración propia con base en respuesta allegada por parte del MEN</w:t>
      </w:r>
    </w:p>
    <w:p w:rsidR="003663B9" w:rsidRDefault="003663B9" w:rsidP="00C13168">
      <w:pPr>
        <w:spacing w:line="240" w:lineRule="auto"/>
        <w:contextualSpacing w:val="0"/>
        <w:jc w:val="both"/>
        <w:rPr>
          <w:rFonts w:eastAsia="Calibri"/>
          <w:color w:val="000000" w:themeColor="text1"/>
          <w:sz w:val="26"/>
          <w:szCs w:val="26"/>
        </w:rPr>
      </w:pPr>
    </w:p>
    <w:p w:rsidR="003C04B4" w:rsidRDefault="00C20AC4" w:rsidP="00C13168">
      <w:pPr>
        <w:spacing w:line="240" w:lineRule="auto"/>
        <w:contextualSpacing w:val="0"/>
        <w:jc w:val="both"/>
        <w:rPr>
          <w:rFonts w:eastAsia="Calibri"/>
          <w:color w:val="000000" w:themeColor="text1"/>
          <w:sz w:val="26"/>
          <w:szCs w:val="26"/>
        </w:rPr>
      </w:pPr>
      <w:r>
        <w:rPr>
          <w:rFonts w:eastAsia="Calibri"/>
          <w:color w:val="000000" w:themeColor="text1"/>
          <w:sz w:val="26"/>
          <w:szCs w:val="26"/>
        </w:rPr>
        <w:t xml:space="preserve">Adicionalmente la Secretaría de Educación de Bogotá en comunicado de prensa </w:t>
      </w:r>
      <w:r w:rsidR="003C04B4">
        <w:rPr>
          <w:rFonts w:eastAsia="Calibri"/>
          <w:color w:val="000000" w:themeColor="text1"/>
          <w:sz w:val="26"/>
          <w:szCs w:val="26"/>
        </w:rPr>
        <w:t xml:space="preserve">del año 2019 </w:t>
      </w:r>
      <w:r>
        <w:rPr>
          <w:rFonts w:eastAsia="Calibri"/>
          <w:color w:val="000000" w:themeColor="text1"/>
          <w:sz w:val="26"/>
          <w:szCs w:val="26"/>
        </w:rPr>
        <w:t>publicado en su página web</w:t>
      </w:r>
      <w:r>
        <w:rPr>
          <w:rStyle w:val="Refdenotaalpie"/>
          <w:rFonts w:eastAsia="Calibri"/>
          <w:color w:val="000000" w:themeColor="text1"/>
          <w:sz w:val="26"/>
          <w:szCs w:val="26"/>
        </w:rPr>
        <w:footnoteReference w:id="3"/>
      </w:r>
      <w:r w:rsidR="003C04B4">
        <w:rPr>
          <w:rFonts w:eastAsia="Calibri"/>
          <w:color w:val="000000" w:themeColor="text1"/>
          <w:sz w:val="26"/>
          <w:szCs w:val="26"/>
        </w:rPr>
        <w:t xml:space="preserve">, manifiesta que han logrado identificar 400 predios distribuidos en 286 sedes educativas; en donde señalan que muchas de estas instituciones funcionan en predios que fueron de donaciones, cesiones de particulares y por otros motivos, razón por la cual no se han adelantado los procesos de transferencia de la titularidad.   </w:t>
      </w:r>
    </w:p>
    <w:p w:rsidR="00C20AC4" w:rsidRPr="003663B9" w:rsidRDefault="003C04B4" w:rsidP="00C13168">
      <w:pPr>
        <w:spacing w:line="240" w:lineRule="auto"/>
        <w:contextualSpacing w:val="0"/>
        <w:jc w:val="both"/>
        <w:rPr>
          <w:rFonts w:eastAsia="Calibri"/>
          <w:color w:val="000000" w:themeColor="text1"/>
          <w:sz w:val="26"/>
          <w:szCs w:val="26"/>
        </w:rPr>
      </w:pPr>
      <w:r>
        <w:rPr>
          <w:rFonts w:eastAsia="Calibri"/>
          <w:color w:val="000000" w:themeColor="text1"/>
          <w:sz w:val="26"/>
          <w:szCs w:val="26"/>
        </w:rPr>
        <w:t xml:space="preserve"> </w:t>
      </w:r>
    </w:p>
    <w:p w:rsidR="003663B9" w:rsidRDefault="00D0726F" w:rsidP="00C13168">
      <w:pPr>
        <w:spacing w:line="240" w:lineRule="auto"/>
        <w:contextualSpacing w:val="0"/>
        <w:jc w:val="both"/>
        <w:rPr>
          <w:rFonts w:eastAsia="Calibri"/>
          <w:color w:val="000000" w:themeColor="text1"/>
          <w:sz w:val="26"/>
          <w:szCs w:val="26"/>
        </w:rPr>
      </w:pPr>
      <w:r>
        <w:rPr>
          <w:rFonts w:eastAsia="Calibri"/>
          <w:color w:val="000000" w:themeColor="text1"/>
          <w:sz w:val="26"/>
          <w:szCs w:val="26"/>
        </w:rPr>
        <w:t>Con relación al ámbito deportivo, el Ministerio del Deporte bajo comunicación allegada bajo número 2020EE0013227, manifestó que no tiene</w:t>
      </w:r>
      <w:r w:rsidR="00C20AC4">
        <w:rPr>
          <w:rFonts w:eastAsia="Calibri"/>
          <w:color w:val="000000" w:themeColor="text1"/>
          <w:sz w:val="26"/>
          <w:szCs w:val="26"/>
        </w:rPr>
        <w:t xml:space="preserve"> un inventario de escenarios deportivos a nivel nacional que no cuenten con la titularidad de los predios.</w:t>
      </w:r>
    </w:p>
    <w:p w:rsidR="00C20AC4" w:rsidRDefault="00C20AC4" w:rsidP="00C13168">
      <w:pPr>
        <w:spacing w:line="240" w:lineRule="auto"/>
        <w:contextualSpacing w:val="0"/>
        <w:jc w:val="both"/>
        <w:rPr>
          <w:rFonts w:eastAsia="Calibri"/>
          <w:color w:val="000000" w:themeColor="text1"/>
          <w:sz w:val="26"/>
          <w:szCs w:val="26"/>
        </w:rPr>
      </w:pPr>
    </w:p>
    <w:p w:rsidR="000F20C9" w:rsidRDefault="00C20AC4" w:rsidP="00C13168">
      <w:pPr>
        <w:spacing w:line="240" w:lineRule="auto"/>
        <w:contextualSpacing w:val="0"/>
        <w:jc w:val="both"/>
        <w:rPr>
          <w:rFonts w:eastAsia="Calibri"/>
          <w:color w:val="000000" w:themeColor="text1"/>
          <w:sz w:val="26"/>
          <w:szCs w:val="26"/>
        </w:rPr>
      </w:pPr>
      <w:r>
        <w:rPr>
          <w:rFonts w:eastAsia="Calibri"/>
          <w:color w:val="000000" w:themeColor="text1"/>
          <w:sz w:val="26"/>
          <w:szCs w:val="26"/>
        </w:rPr>
        <w:t>Adicionalmente el Ministerio del Deporte nos adjunta una tabla con los proyectos que no han sido viabilizados</w:t>
      </w:r>
      <w:r w:rsidR="003C04B4">
        <w:rPr>
          <w:rFonts w:eastAsia="Calibri"/>
          <w:color w:val="000000" w:themeColor="text1"/>
          <w:sz w:val="26"/>
          <w:szCs w:val="26"/>
        </w:rPr>
        <w:t xml:space="preserve"> desde al año 2016 a la fecha, en donde una de las posibles causales de rechazo es la no titularidad del bien</w:t>
      </w:r>
      <w:r w:rsidR="000F20C9">
        <w:rPr>
          <w:rFonts w:eastAsia="Calibri"/>
          <w:color w:val="000000" w:themeColor="text1"/>
          <w:sz w:val="26"/>
          <w:szCs w:val="26"/>
        </w:rPr>
        <w:t>.</w:t>
      </w:r>
    </w:p>
    <w:p w:rsidR="000F20C9" w:rsidRDefault="000F20C9" w:rsidP="00C13168">
      <w:pPr>
        <w:spacing w:line="240" w:lineRule="auto"/>
        <w:contextualSpacing w:val="0"/>
        <w:jc w:val="both"/>
        <w:rPr>
          <w:rFonts w:eastAsia="Calibri"/>
          <w:color w:val="000000" w:themeColor="text1"/>
          <w:sz w:val="26"/>
          <w:szCs w:val="26"/>
        </w:rPr>
      </w:pPr>
    </w:p>
    <w:tbl>
      <w:tblPr>
        <w:tblStyle w:val="TableNormal"/>
        <w:tblW w:w="0" w:type="auto"/>
        <w:tblInd w:w="211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2010"/>
        <w:gridCol w:w="2667"/>
      </w:tblGrid>
      <w:tr w:rsidR="000F20C9" w:rsidRPr="000F20C9" w:rsidTr="00B90CB0">
        <w:trPr>
          <w:trHeight w:val="293"/>
        </w:trPr>
        <w:tc>
          <w:tcPr>
            <w:tcW w:w="2010" w:type="dxa"/>
            <w:vAlign w:val="center"/>
          </w:tcPr>
          <w:p w:rsidR="000F20C9" w:rsidRPr="000F20C9" w:rsidRDefault="000F20C9" w:rsidP="000F20C9">
            <w:pPr>
              <w:pStyle w:val="TableParagraph"/>
              <w:spacing w:line="240" w:lineRule="auto"/>
              <w:ind w:left="56"/>
              <w:rPr>
                <w:rFonts w:ascii="Arial Narrow" w:hAnsi="Arial Narrow"/>
                <w:b/>
              </w:rPr>
            </w:pPr>
            <w:r w:rsidRPr="000F20C9">
              <w:rPr>
                <w:rFonts w:ascii="Arial Narrow" w:hAnsi="Arial Narrow"/>
                <w:b/>
              </w:rPr>
              <w:t>AÑO DEVOLUCIÓN</w:t>
            </w:r>
          </w:p>
        </w:tc>
        <w:tc>
          <w:tcPr>
            <w:tcW w:w="2667" w:type="dxa"/>
            <w:vAlign w:val="center"/>
          </w:tcPr>
          <w:p w:rsidR="000F20C9" w:rsidRPr="000F20C9" w:rsidRDefault="000F20C9" w:rsidP="00B90CB0">
            <w:pPr>
              <w:pStyle w:val="TableParagraph"/>
              <w:spacing w:before="0" w:line="240" w:lineRule="auto"/>
              <w:ind w:left="159" w:right="147"/>
              <w:rPr>
                <w:rFonts w:ascii="Arial Narrow" w:hAnsi="Arial Narrow"/>
                <w:b/>
              </w:rPr>
            </w:pPr>
            <w:r w:rsidRPr="000F20C9">
              <w:rPr>
                <w:rFonts w:ascii="Arial Narrow" w:hAnsi="Arial Narrow"/>
                <w:b/>
              </w:rPr>
              <w:t>No. Proyectos Devueltos</w:t>
            </w:r>
          </w:p>
        </w:tc>
      </w:tr>
      <w:tr w:rsidR="000F20C9" w:rsidTr="00B90CB0">
        <w:trPr>
          <w:trHeight w:val="251"/>
        </w:trPr>
        <w:tc>
          <w:tcPr>
            <w:tcW w:w="2010" w:type="dxa"/>
          </w:tcPr>
          <w:p w:rsidR="000F20C9" w:rsidRPr="000F20C9" w:rsidRDefault="000F20C9" w:rsidP="008D69D2">
            <w:pPr>
              <w:pStyle w:val="TableParagraph"/>
              <w:ind w:left="59"/>
              <w:rPr>
                <w:rFonts w:ascii="Arial Narrow" w:hAnsi="Arial Narrow"/>
                <w:sz w:val="20"/>
              </w:rPr>
            </w:pPr>
            <w:r w:rsidRPr="000F20C9">
              <w:rPr>
                <w:rFonts w:ascii="Arial Narrow" w:hAnsi="Arial Narrow"/>
                <w:sz w:val="20"/>
              </w:rPr>
              <w:t>2016</w:t>
            </w:r>
          </w:p>
        </w:tc>
        <w:tc>
          <w:tcPr>
            <w:tcW w:w="2667" w:type="dxa"/>
          </w:tcPr>
          <w:p w:rsidR="000F20C9" w:rsidRPr="000F20C9" w:rsidRDefault="000F20C9" w:rsidP="008D69D2">
            <w:pPr>
              <w:pStyle w:val="TableParagraph"/>
              <w:ind w:right="149"/>
              <w:rPr>
                <w:rFonts w:ascii="Arial Narrow" w:hAnsi="Arial Narrow"/>
                <w:sz w:val="20"/>
              </w:rPr>
            </w:pPr>
            <w:r w:rsidRPr="000F20C9">
              <w:rPr>
                <w:rFonts w:ascii="Arial Narrow" w:hAnsi="Arial Narrow"/>
                <w:sz w:val="20"/>
              </w:rPr>
              <w:t>21</w:t>
            </w:r>
          </w:p>
        </w:tc>
      </w:tr>
      <w:tr w:rsidR="000F20C9" w:rsidTr="00B90CB0">
        <w:trPr>
          <w:trHeight w:val="251"/>
        </w:trPr>
        <w:tc>
          <w:tcPr>
            <w:tcW w:w="2010" w:type="dxa"/>
          </w:tcPr>
          <w:p w:rsidR="000F20C9" w:rsidRPr="000F20C9" w:rsidRDefault="000F20C9" w:rsidP="008D69D2">
            <w:pPr>
              <w:pStyle w:val="TableParagraph"/>
              <w:ind w:left="59"/>
              <w:rPr>
                <w:rFonts w:ascii="Arial Narrow" w:hAnsi="Arial Narrow"/>
                <w:sz w:val="20"/>
              </w:rPr>
            </w:pPr>
            <w:r w:rsidRPr="000F20C9">
              <w:rPr>
                <w:rFonts w:ascii="Arial Narrow" w:hAnsi="Arial Narrow"/>
                <w:sz w:val="20"/>
              </w:rPr>
              <w:t>2017</w:t>
            </w:r>
          </w:p>
        </w:tc>
        <w:tc>
          <w:tcPr>
            <w:tcW w:w="2667" w:type="dxa"/>
          </w:tcPr>
          <w:p w:rsidR="000F20C9" w:rsidRPr="000F20C9" w:rsidRDefault="000F20C9" w:rsidP="008D69D2">
            <w:pPr>
              <w:pStyle w:val="TableParagraph"/>
              <w:ind w:right="149"/>
              <w:rPr>
                <w:rFonts w:ascii="Arial Narrow" w:hAnsi="Arial Narrow"/>
                <w:sz w:val="20"/>
              </w:rPr>
            </w:pPr>
            <w:r w:rsidRPr="000F20C9">
              <w:rPr>
                <w:rFonts w:ascii="Arial Narrow" w:hAnsi="Arial Narrow"/>
                <w:sz w:val="20"/>
              </w:rPr>
              <w:t>49</w:t>
            </w:r>
          </w:p>
        </w:tc>
      </w:tr>
      <w:tr w:rsidR="000F20C9" w:rsidTr="00B90CB0">
        <w:trPr>
          <w:trHeight w:val="251"/>
        </w:trPr>
        <w:tc>
          <w:tcPr>
            <w:tcW w:w="2010" w:type="dxa"/>
          </w:tcPr>
          <w:p w:rsidR="000F20C9" w:rsidRPr="000F20C9" w:rsidRDefault="000F20C9" w:rsidP="008D69D2">
            <w:pPr>
              <w:pStyle w:val="TableParagraph"/>
              <w:ind w:left="59"/>
              <w:rPr>
                <w:rFonts w:ascii="Arial Narrow" w:hAnsi="Arial Narrow"/>
                <w:sz w:val="20"/>
              </w:rPr>
            </w:pPr>
            <w:r w:rsidRPr="000F20C9">
              <w:rPr>
                <w:rFonts w:ascii="Arial Narrow" w:hAnsi="Arial Narrow"/>
                <w:sz w:val="20"/>
              </w:rPr>
              <w:t>2018</w:t>
            </w:r>
          </w:p>
        </w:tc>
        <w:tc>
          <w:tcPr>
            <w:tcW w:w="2667" w:type="dxa"/>
          </w:tcPr>
          <w:p w:rsidR="000F20C9" w:rsidRPr="000F20C9" w:rsidRDefault="000F20C9" w:rsidP="008D69D2">
            <w:pPr>
              <w:pStyle w:val="TableParagraph"/>
              <w:ind w:right="149"/>
              <w:rPr>
                <w:rFonts w:ascii="Arial Narrow" w:hAnsi="Arial Narrow"/>
                <w:sz w:val="20"/>
              </w:rPr>
            </w:pPr>
            <w:r w:rsidRPr="000F20C9">
              <w:rPr>
                <w:rFonts w:ascii="Arial Narrow" w:hAnsi="Arial Narrow"/>
                <w:sz w:val="20"/>
              </w:rPr>
              <w:t>599</w:t>
            </w:r>
          </w:p>
        </w:tc>
      </w:tr>
      <w:tr w:rsidR="000F20C9" w:rsidTr="00B90CB0">
        <w:trPr>
          <w:trHeight w:val="251"/>
        </w:trPr>
        <w:tc>
          <w:tcPr>
            <w:tcW w:w="2010" w:type="dxa"/>
          </w:tcPr>
          <w:p w:rsidR="000F20C9" w:rsidRPr="000F20C9" w:rsidRDefault="000F20C9" w:rsidP="008D69D2">
            <w:pPr>
              <w:pStyle w:val="TableParagraph"/>
              <w:ind w:left="59"/>
              <w:rPr>
                <w:rFonts w:ascii="Arial Narrow" w:hAnsi="Arial Narrow"/>
                <w:sz w:val="20"/>
              </w:rPr>
            </w:pPr>
            <w:r w:rsidRPr="000F20C9">
              <w:rPr>
                <w:rFonts w:ascii="Arial Narrow" w:hAnsi="Arial Narrow"/>
                <w:sz w:val="20"/>
              </w:rPr>
              <w:t>2019</w:t>
            </w:r>
          </w:p>
        </w:tc>
        <w:tc>
          <w:tcPr>
            <w:tcW w:w="2667" w:type="dxa"/>
          </w:tcPr>
          <w:p w:rsidR="000F20C9" w:rsidRPr="000F20C9" w:rsidRDefault="000F20C9" w:rsidP="008D69D2">
            <w:pPr>
              <w:pStyle w:val="TableParagraph"/>
              <w:ind w:right="149"/>
              <w:rPr>
                <w:rFonts w:ascii="Arial Narrow" w:hAnsi="Arial Narrow"/>
                <w:sz w:val="20"/>
              </w:rPr>
            </w:pPr>
            <w:r w:rsidRPr="000F20C9">
              <w:rPr>
                <w:rFonts w:ascii="Arial Narrow" w:hAnsi="Arial Narrow"/>
                <w:sz w:val="20"/>
              </w:rPr>
              <w:t>432</w:t>
            </w:r>
          </w:p>
        </w:tc>
      </w:tr>
      <w:tr w:rsidR="000F20C9" w:rsidTr="00B90CB0">
        <w:trPr>
          <w:trHeight w:val="251"/>
        </w:trPr>
        <w:tc>
          <w:tcPr>
            <w:tcW w:w="2010" w:type="dxa"/>
          </w:tcPr>
          <w:p w:rsidR="000F20C9" w:rsidRPr="000F20C9" w:rsidRDefault="000F20C9" w:rsidP="008D69D2">
            <w:pPr>
              <w:pStyle w:val="TableParagraph"/>
              <w:ind w:left="59"/>
              <w:rPr>
                <w:rFonts w:ascii="Arial Narrow" w:hAnsi="Arial Narrow"/>
                <w:sz w:val="20"/>
              </w:rPr>
            </w:pPr>
            <w:r w:rsidRPr="000F20C9">
              <w:rPr>
                <w:rFonts w:ascii="Arial Narrow" w:hAnsi="Arial Narrow"/>
                <w:sz w:val="20"/>
              </w:rPr>
              <w:t>2020</w:t>
            </w:r>
          </w:p>
        </w:tc>
        <w:tc>
          <w:tcPr>
            <w:tcW w:w="2667" w:type="dxa"/>
          </w:tcPr>
          <w:p w:rsidR="000F20C9" w:rsidRPr="000F20C9" w:rsidRDefault="000F20C9" w:rsidP="008D69D2">
            <w:pPr>
              <w:pStyle w:val="TableParagraph"/>
              <w:ind w:right="149"/>
              <w:rPr>
                <w:rFonts w:ascii="Arial Narrow" w:hAnsi="Arial Narrow"/>
                <w:sz w:val="20"/>
              </w:rPr>
            </w:pPr>
            <w:r w:rsidRPr="000F20C9">
              <w:rPr>
                <w:rFonts w:ascii="Arial Narrow" w:hAnsi="Arial Narrow"/>
                <w:sz w:val="20"/>
              </w:rPr>
              <w:t>50</w:t>
            </w:r>
          </w:p>
        </w:tc>
      </w:tr>
      <w:tr w:rsidR="000F20C9" w:rsidTr="00B90CB0">
        <w:trPr>
          <w:trHeight w:val="251"/>
        </w:trPr>
        <w:tc>
          <w:tcPr>
            <w:tcW w:w="2010" w:type="dxa"/>
          </w:tcPr>
          <w:p w:rsidR="000F20C9" w:rsidRPr="000F20C9" w:rsidRDefault="000F20C9" w:rsidP="008D69D2">
            <w:pPr>
              <w:pStyle w:val="TableParagraph"/>
              <w:ind w:left="62" w:right="56"/>
              <w:rPr>
                <w:rFonts w:ascii="Arial Narrow" w:hAnsi="Arial Narrow"/>
                <w:b/>
                <w:sz w:val="20"/>
              </w:rPr>
            </w:pPr>
            <w:r w:rsidRPr="000F20C9">
              <w:rPr>
                <w:rFonts w:ascii="Arial Narrow" w:hAnsi="Arial Narrow"/>
                <w:b/>
                <w:sz w:val="20"/>
              </w:rPr>
              <w:t>Total</w:t>
            </w:r>
          </w:p>
        </w:tc>
        <w:tc>
          <w:tcPr>
            <w:tcW w:w="2667" w:type="dxa"/>
          </w:tcPr>
          <w:p w:rsidR="000F20C9" w:rsidRPr="000F20C9" w:rsidRDefault="000F20C9" w:rsidP="008D69D2">
            <w:pPr>
              <w:pStyle w:val="TableParagraph"/>
              <w:ind w:right="149"/>
              <w:rPr>
                <w:rFonts w:ascii="Arial Narrow" w:hAnsi="Arial Narrow"/>
                <w:b/>
                <w:sz w:val="20"/>
              </w:rPr>
            </w:pPr>
            <w:r w:rsidRPr="000F20C9">
              <w:rPr>
                <w:rFonts w:ascii="Arial Narrow" w:hAnsi="Arial Narrow"/>
                <w:b/>
                <w:sz w:val="20"/>
              </w:rPr>
              <w:t>1151</w:t>
            </w:r>
          </w:p>
        </w:tc>
      </w:tr>
    </w:tbl>
    <w:p w:rsidR="00C20AC4" w:rsidRPr="000F20C9" w:rsidRDefault="000F20C9" w:rsidP="000F20C9">
      <w:pPr>
        <w:spacing w:line="240" w:lineRule="auto"/>
        <w:contextualSpacing w:val="0"/>
        <w:jc w:val="center"/>
        <w:rPr>
          <w:rFonts w:eastAsia="Calibri"/>
          <w:color w:val="000000" w:themeColor="text1"/>
          <w:sz w:val="18"/>
          <w:szCs w:val="26"/>
        </w:rPr>
      </w:pPr>
      <w:r>
        <w:rPr>
          <w:rFonts w:eastAsia="Calibri"/>
          <w:color w:val="000000" w:themeColor="text1"/>
          <w:sz w:val="18"/>
          <w:szCs w:val="26"/>
        </w:rPr>
        <w:t>Fuente: Respuesta allegada por el Ministerio del Deporte bajo radicado N°</w:t>
      </w:r>
      <w:r w:rsidRPr="000F20C9">
        <w:rPr>
          <w:rFonts w:eastAsia="Calibri"/>
          <w:color w:val="000000" w:themeColor="text1"/>
          <w:sz w:val="18"/>
          <w:szCs w:val="18"/>
        </w:rPr>
        <w:t xml:space="preserve"> 2020EE0013227</w:t>
      </w:r>
    </w:p>
    <w:p w:rsidR="003E1DCD" w:rsidRDefault="003E1DCD" w:rsidP="006829EC">
      <w:pPr>
        <w:spacing w:line="240" w:lineRule="auto"/>
        <w:contextualSpacing w:val="0"/>
        <w:jc w:val="both"/>
        <w:rPr>
          <w:rFonts w:eastAsia="Calibri"/>
          <w:color w:val="000000" w:themeColor="text1"/>
          <w:sz w:val="26"/>
          <w:szCs w:val="26"/>
        </w:rPr>
      </w:pPr>
    </w:p>
    <w:p w:rsidR="002C2442" w:rsidRDefault="000F20C9" w:rsidP="006829EC">
      <w:pPr>
        <w:spacing w:line="240" w:lineRule="auto"/>
        <w:contextualSpacing w:val="0"/>
        <w:jc w:val="both"/>
        <w:rPr>
          <w:rFonts w:eastAsia="Calibri"/>
          <w:color w:val="000000" w:themeColor="text1"/>
          <w:sz w:val="26"/>
          <w:szCs w:val="26"/>
        </w:rPr>
      </w:pPr>
      <w:r>
        <w:rPr>
          <w:rFonts w:eastAsia="Calibri"/>
          <w:color w:val="000000" w:themeColor="text1"/>
          <w:sz w:val="26"/>
          <w:szCs w:val="26"/>
        </w:rPr>
        <w:t xml:space="preserve">Por otra parte, el Ministerio de Salud y de la Protección Social bajo comunicación allegada bajo el radicado número 202023201135971, nos indican que cuentan con el Sistema de Información Hospitalaria – SIHO, en donde se registra </w:t>
      </w:r>
      <w:r w:rsidR="002C2442">
        <w:rPr>
          <w:rFonts w:eastAsia="Calibri"/>
          <w:color w:val="000000" w:themeColor="text1"/>
          <w:sz w:val="26"/>
          <w:szCs w:val="26"/>
        </w:rPr>
        <w:t>la información de la infraestructura de las Empresas Sociales del Estado – ESE, y lo relacionado con los predios en donde operan y la fuente de la información del sistema es validada por las Direcciones Departamentales y Distritales de Salud al Ministerio de Salud y Protección Social.</w:t>
      </w:r>
    </w:p>
    <w:p w:rsidR="002C2442" w:rsidRDefault="002C2442" w:rsidP="006829EC">
      <w:pPr>
        <w:spacing w:line="240" w:lineRule="auto"/>
        <w:contextualSpacing w:val="0"/>
        <w:jc w:val="both"/>
        <w:rPr>
          <w:rFonts w:eastAsia="Calibri"/>
          <w:color w:val="000000" w:themeColor="text1"/>
          <w:sz w:val="26"/>
          <w:szCs w:val="26"/>
        </w:rPr>
      </w:pPr>
    </w:p>
    <w:p w:rsidR="002C2442" w:rsidRDefault="00D55052" w:rsidP="006829EC">
      <w:pPr>
        <w:spacing w:line="240" w:lineRule="auto"/>
        <w:contextualSpacing w:val="0"/>
        <w:jc w:val="both"/>
        <w:rPr>
          <w:rFonts w:eastAsia="Calibri"/>
          <w:color w:val="000000" w:themeColor="text1"/>
          <w:sz w:val="26"/>
          <w:szCs w:val="26"/>
        </w:rPr>
      </w:pPr>
      <w:r>
        <w:rPr>
          <w:rFonts w:eastAsia="Calibri"/>
          <w:color w:val="000000" w:themeColor="text1"/>
          <w:sz w:val="26"/>
          <w:szCs w:val="26"/>
        </w:rPr>
        <w:t>El</w:t>
      </w:r>
      <w:r w:rsidR="002C2442">
        <w:rPr>
          <w:rFonts w:eastAsia="Calibri"/>
          <w:color w:val="000000" w:themeColor="text1"/>
          <w:sz w:val="26"/>
          <w:szCs w:val="26"/>
        </w:rPr>
        <w:t xml:space="preserve"> </w:t>
      </w:r>
      <w:r>
        <w:rPr>
          <w:rFonts w:eastAsia="Calibri"/>
          <w:color w:val="000000" w:themeColor="text1"/>
          <w:sz w:val="26"/>
          <w:szCs w:val="26"/>
        </w:rPr>
        <w:t>Sistema de Información Hospitalaria – SIHO a corte del 31 de diciembre de 2019, indica que hay en Colombia 3.764 sedes hospitalarias; de las cuales sólo el 49,57% (1.866 sedes) son propias, y el 31,24% (1.1</w:t>
      </w:r>
      <w:r w:rsidR="006F2235">
        <w:rPr>
          <w:rFonts w:eastAsia="Calibri"/>
          <w:color w:val="000000" w:themeColor="text1"/>
          <w:sz w:val="26"/>
          <w:szCs w:val="26"/>
        </w:rPr>
        <w:t>76 sedes) aparecen en el registro como tenencia, o indefinido; el resto de las sedes aparece en arriendo o en comodato.</w:t>
      </w:r>
    </w:p>
    <w:p w:rsidR="006F2235" w:rsidRDefault="006F2235" w:rsidP="006829EC">
      <w:pPr>
        <w:spacing w:line="240" w:lineRule="auto"/>
        <w:contextualSpacing w:val="0"/>
        <w:jc w:val="both"/>
        <w:rPr>
          <w:rFonts w:eastAsia="Calibri"/>
          <w:color w:val="000000" w:themeColor="text1"/>
          <w:sz w:val="26"/>
          <w:szCs w:val="26"/>
        </w:rPr>
      </w:pPr>
    </w:p>
    <w:p w:rsidR="006F2235" w:rsidRDefault="006F2235" w:rsidP="006829EC">
      <w:pPr>
        <w:spacing w:line="240" w:lineRule="auto"/>
        <w:contextualSpacing w:val="0"/>
        <w:jc w:val="both"/>
        <w:rPr>
          <w:rFonts w:eastAsia="Calibri"/>
          <w:color w:val="000000" w:themeColor="text1"/>
          <w:sz w:val="26"/>
          <w:szCs w:val="26"/>
        </w:rPr>
      </w:pPr>
      <w:r>
        <w:rPr>
          <w:rFonts w:eastAsia="Calibri"/>
          <w:color w:val="000000" w:themeColor="text1"/>
          <w:sz w:val="26"/>
          <w:szCs w:val="26"/>
        </w:rPr>
        <w:t xml:space="preserve">Como se puede observar en los sectores de educación, salud y </w:t>
      </w:r>
      <w:r w:rsidR="006829EC">
        <w:rPr>
          <w:rFonts w:eastAsia="Calibri"/>
          <w:color w:val="000000" w:themeColor="text1"/>
          <w:sz w:val="26"/>
          <w:szCs w:val="26"/>
        </w:rPr>
        <w:t>recreación</w:t>
      </w:r>
      <w:r>
        <w:rPr>
          <w:rFonts w:eastAsia="Calibri"/>
          <w:color w:val="000000" w:themeColor="text1"/>
          <w:sz w:val="26"/>
          <w:szCs w:val="26"/>
        </w:rPr>
        <w:t xml:space="preserve">, se presentan inconvenientes para que las entidades territoriales puedan acceder a recursos del Gobierno Nacional para realizar un mejoramiento de la infraestructura en estos sectores, volviéndose una barrera </w:t>
      </w:r>
      <w:r w:rsidR="0011409C">
        <w:rPr>
          <w:rFonts w:eastAsia="Calibri"/>
          <w:color w:val="000000" w:themeColor="text1"/>
          <w:sz w:val="26"/>
          <w:szCs w:val="26"/>
        </w:rPr>
        <w:t xml:space="preserve">de acceso </w:t>
      </w:r>
      <w:r>
        <w:rPr>
          <w:rFonts w:eastAsia="Calibri"/>
          <w:color w:val="000000" w:themeColor="text1"/>
          <w:sz w:val="26"/>
          <w:szCs w:val="26"/>
        </w:rPr>
        <w:t>para la presentación de proyectos.</w:t>
      </w:r>
    </w:p>
    <w:p w:rsidR="000F20C9" w:rsidRPr="003663B9" w:rsidRDefault="002C2442" w:rsidP="006829EC">
      <w:pPr>
        <w:spacing w:line="240" w:lineRule="auto"/>
        <w:contextualSpacing w:val="0"/>
        <w:jc w:val="both"/>
        <w:rPr>
          <w:rFonts w:eastAsia="Calibri"/>
          <w:color w:val="000000" w:themeColor="text1"/>
          <w:sz w:val="26"/>
          <w:szCs w:val="26"/>
        </w:rPr>
      </w:pPr>
      <w:r>
        <w:rPr>
          <w:rFonts w:eastAsia="Calibri"/>
          <w:color w:val="000000" w:themeColor="text1"/>
          <w:sz w:val="26"/>
          <w:szCs w:val="26"/>
        </w:rPr>
        <w:t xml:space="preserve"> </w:t>
      </w:r>
      <w:r w:rsidR="000F20C9">
        <w:rPr>
          <w:rFonts w:eastAsia="Calibri"/>
          <w:color w:val="000000" w:themeColor="text1"/>
          <w:sz w:val="26"/>
          <w:szCs w:val="26"/>
        </w:rPr>
        <w:t xml:space="preserve">    </w:t>
      </w:r>
    </w:p>
    <w:p w:rsidR="0011409C" w:rsidRDefault="0079558C" w:rsidP="006829EC">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 xml:space="preserve">Hace poco el Congreso de la República </w:t>
      </w:r>
      <w:r w:rsidR="00A96114" w:rsidRPr="003663B9">
        <w:rPr>
          <w:rFonts w:eastAsia="Calibri"/>
          <w:color w:val="000000" w:themeColor="text1"/>
          <w:sz w:val="26"/>
          <w:szCs w:val="26"/>
        </w:rPr>
        <w:t>expidió</w:t>
      </w:r>
      <w:r w:rsidRPr="003663B9">
        <w:rPr>
          <w:rFonts w:eastAsia="Calibri"/>
          <w:color w:val="000000" w:themeColor="text1"/>
          <w:sz w:val="26"/>
          <w:szCs w:val="26"/>
        </w:rPr>
        <w:t xml:space="preserve"> la Ley 2044 de 2020, que busca la legalización de títulos de los diferentes asentamientos ilegales</w:t>
      </w:r>
      <w:r w:rsidR="003E1DCD" w:rsidRPr="003663B9">
        <w:rPr>
          <w:rFonts w:eastAsia="Calibri"/>
          <w:color w:val="000000" w:themeColor="text1"/>
          <w:sz w:val="26"/>
          <w:szCs w:val="26"/>
        </w:rPr>
        <w:t xml:space="preserve">, </w:t>
      </w:r>
      <w:r w:rsidR="0011409C">
        <w:rPr>
          <w:rFonts w:eastAsia="Calibri"/>
          <w:color w:val="000000" w:themeColor="text1"/>
          <w:sz w:val="26"/>
          <w:szCs w:val="26"/>
        </w:rPr>
        <w:t xml:space="preserve">de los bienes baldíos, fiscales </w:t>
      </w:r>
      <w:proofErr w:type="spellStart"/>
      <w:r w:rsidR="0011409C">
        <w:rPr>
          <w:rFonts w:eastAsia="Calibri"/>
          <w:color w:val="000000" w:themeColor="text1"/>
          <w:sz w:val="26"/>
          <w:szCs w:val="26"/>
        </w:rPr>
        <w:t>titulables</w:t>
      </w:r>
      <w:proofErr w:type="spellEnd"/>
      <w:r w:rsidR="0011409C">
        <w:rPr>
          <w:rFonts w:eastAsia="Calibri"/>
          <w:color w:val="000000" w:themeColor="text1"/>
          <w:sz w:val="26"/>
          <w:szCs w:val="26"/>
        </w:rPr>
        <w:t xml:space="preserve"> y los que existan en predios de propiedad de particulares que cuenten con una posesión igual o mayor a diez (10) años; al igual que la titulación de predios de uso público a favor de las entidades territoriales; con lo cual este proyecto es un complemento a lo señalado en dicha ley, toda vez, que en la nueva ley le otorga la posibilidad </w:t>
      </w:r>
      <w:r w:rsidR="007744B7">
        <w:rPr>
          <w:rFonts w:eastAsia="Calibri"/>
          <w:color w:val="000000" w:themeColor="text1"/>
          <w:sz w:val="26"/>
          <w:szCs w:val="26"/>
        </w:rPr>
        <w:t xml:space="preserve">a las diferentes entidades territoriales </w:t>
      </w:r>
      <w:r w:rsidR="003E63A9">
        <w:rPr>
          <w:rFonts w:eastAsia="Calibri"/>
          <w:color w:val="000000" w:themeColor="text1"/>
          <w:sz w:val="26"/>
          <w:szCs w:val="26"/>
        </w:rPr>
        <w:t xml:space="preserve">a través </w:t>
      </w:r>
      <w:r w:rsidR="007744B7">
        <w:rPr>
          <w:rFonts w:eastAsia="Calibri"/>
          <w:color w:val="000000" w:themeColor="text1"/>
          <w:sz w:val="26"/>
          <w:szCs w:val="26"/>
        </w:rPr>
        <w:t>de</w:t>
      </w:r>
      <w:r w:rsidR="00DE1376">
        <w:rPr>
          <w:rFonts w:eastAsia="Calibri"/>
          <w:color w:val="000000" w:themeColor="text1"/>
          <w:sz w:val="26"/>
          <w:szCs w:val="26"/>
        </w:rPr>
        <w:t>l proceso de expropiación por vía administrativa establecido en la Ley 388 de 1997, para aquellos predios que ya cuenten con diez (10) años de posesión de conformidad con el artículo 8° de la ley 2044 de 2020; mientras que en el actual proyecto de ley se establece que se deberá adelantar inicialmente</w:t>
      </w:r>
      <w:r w:rsidR="009B6D5A">
        <w:rPr>
          <w:rFonts w:eastAsia="Calibri"/>
          <w:color w:val="000000" w:themeColor="text1"/>
          <w:sz w:val="26"/>
          <w:szCs w:val="26"/>
        </w:rPr>
        <w:t xml:space="preserve"> la inscripción de la declaración de posesión regular de conformidad a la Ley 1183 de 2008 e iniciar dentro de los tres (3) meses siguientes</w:t>
      </w:r>
      <w:r w:rsidR="00DE1376">
        <w:rPr>
          <w:rFonts w:eastAsia="Calibri"/>
          <w:color w:val="000000" w:themeColor="text1"/>
          <w:sz w:val="26"/>
          <w:szCs w:val="26"/>
        </w:rPr>
        <w:t xml:space="preserve"> </w:t>
      </w:r>
      <w:r w:rsidR="009B6D5A">
        <w:rPr>
          <w:rFonts w:eastAsia="Calibri"/>
          <w:color w:val="000000" w:themeColor="text1"/>
          <w:sz w:val="26"/>
          <w:szCs w:val="26"/>
        </w:rPr>
        <w:t xml:space="preserve">el proceso de pertenencia por prescripción adquisitiva cuando se cumplan los requisitos establecidos; y cuando no se cumplan se establece el procedimiento de expropiación </w:t>
      </w:r>
      <w:r w:rsidR="002265FE">
        <w:rPr>
          <w:rFonts w:eastAsia="Calibri"/>
          <w:color w:val="000000" w:themeColor="text1"/>
          <w:sz w:val="26"/>
          <w:szCs w:val="26"/>
        </w:rPr>
        <w:t>por vía administrativas establecida en la ley 388 de 1997</w:t>
      </w:r>
      <w:r w:rsidR="006829EC">
        <w:rPr>
          <w:rFonts w:eastAsia="Calibri"/>
          <w:color w:val="000000" w:themeColor="text1"/>
          <w:sz w:val="26"/>
          <w:szCs w:val="26"/>
        </w:rPr>
        <w:t>; dándole a las entidades territoriales otra alternativa o mecanismo para la obtener la titularidad del predio</w:t>
      </w:r>
      <w:r w:rsidR="002265FE">
        <w:rPr>
          <w:rFonts w:eastAsia="Calibri"/>
          <w:color w:val="000000" w:themeColor="text1"/>
          <w:sz w:val="26"/>
          <w:szCs w:val="26"/>
        </w:rPr>
        <w:t>.</w:t>
      </w:r>
      <w:r w:rsidR="003E63A9">
        <w:rPr>
          <w:rFonts w:eastAsia="Calibri"/>
          <w:color w:val="000000" w:themeColor="text1"/>
          <w:sz w:val="26"/>
          <w:szCs w:val="26"/>
        </w:rPr>
        <w:t xml:space="preserve"> </w:t>
      </w:r>
    </w:p>
    <w:p w:rsidR="002265FE" w:rsidRDefault="002265FE" w:rsidP="006829EC">
      <w:pPr>
        <w:spacing w:line="240" w:lineRule="auto"/>
        <w:contextualSpacing w:val="0"/>
        <w:jc w:val="both"/>
        <w:rPr>
          <w:rFonts w:eastAsia="Calibri"/>
          <w:color w:val="000000" w:themeColor="text1"/>
          <w:sz w:val="26"/>
          <w:szCs w:val="26"/>
        </w:rPr>
      </w:pPr>
    </w:p>
    <w:p w:rsidR="002265FE" w:rsidRPr="00B90CB0" w:rsidRDefault="002265FE" w:rsidP="006829EC">
      <w:pPr>
        <w:spacing w:line="240" w:lineRule="auto"/>
        <w:contextualSpacing w:val="0"/>
        <w:jc w:val="both"/>
        <w:rPr>
          <w:rFonts w:eastAsia="Calibri"/>
          <w:color w:val="000000" w:themeColor="text1"/>
          <w:sz w:val="24"/>
          <w:szCs w:val="26"/>
        </w:rPr>
      </w:pPr>
      <w:r>
        <w:rPr>
          <w:rFonts w:eastAsia="Calibri"/>
          <w:color w:val="000000" w:themeColor="text1"/>
          <w:sz w:val="26"/>
          <w:szCs w:val="26"/>
        </w:rPr>
        <w:t>Adicionalmente, este proyecto contempla que una vez efectuado la declaración de posesión regular del predio se podrán presentar los proyectos para construcción, mejoramiento o adecuación de infraestructura ante los diferentes estamentos del Gobierno Nacional sin que puedan ser objetados por temas de titularidad del predio.</w:t>
      </w:r>
    </w:p>
    <w:p w:rsidR="006564A1" w:rsidRPr="00B90CB0" w:rsidRDefault="006564A1" w:rsidP="006829EC">
      <w:pPr>
        <w:spacing w:line="240" w:lineRule="auto"/>
        <w:contextualSpacing w:val="0"/>
        <w:jc w:val="both"/>
        <w:rPr>
          <w:rFonts w:eastAsia="Calibri"/>
          <w:color w:val="000000" w:themeColor="text1"/>
          <w:sz w:val="24"/>
          <w:szCs w:val="26"/>
        </w:rPr>
      </w:pPr>
    </w:p>
    <w:p w:rsidR="00927900" w:rsidRPr="00B90CB0" w:rsidRDefault="00927900" w:rsidP="00295F9D">
      <w:pPr>
        <w:spacing w:line="240" w:lineRule="auto"/>
        <w:contextualSpacing w:val="0"/>
        <w:jc w:val="both"/>
        <w:rPr>
          <w:rFonts w:eastAsia="Calibri"/>
          <w:b/>
          <w:color w:val="000000" w:themeColor="text1"/>
          <w:sz w:val="24"/>
          <w:szCs w:val="26"/>
        </w:rPr>
      </w:pPr>
    </w:p>
    <w:p w:rsidR="00295F9D" w:rsidRPr="003663B9" w:rsidRDefault="00927900" w:rsidP="00927900">
      <w:pPr>
        <w:spacing w:line="240" w:lineRule="auto"/>
        <w:contextualSpacing w:val="0"/>
        <w:jc w:val="center"/>
        <w:rPr>
          <w:rFonts w:eastAsia="Calibri"/>
          <w:b/>
          <w:color w:val="000000" w:themeColor="text1"/>
          <w:sz w:val="26"/>
          <w:szCs w:val="26"/>
        </w:rPr>
      </w:pPr>
      <w:r w:rsidRPr="003663B9">
        <w:rPr>
          <w:rFonts w:eastAsia="Calibri"/>
          <w:b/>
          <w:color w:val="000000" w:themeColor="text1"/>
          <w:sz w:val="26"/>
          <w:szCs w:val="26"/>
        </w:rPr>
        <w:t>V. PLIEGO DE MODIFICACIONES</w:t>
      </w:r>
    </w:p>
    <w:p w:rsidR="00295F9D" w:rsidRPr="003663B9" w:rsidRDefault="00295F9D" w:rsidP="00295F9D">
      <w:pPr>
        <w:spacing w:line="240" w:lineRule="auto"/>
        <w:contextualSpacing w:val="0"/>
        <w:jc w:val="both"/>
        <w:rPr>
          <w:rFonts w:eastAsia="Calibri"/>
          <w:b/>
          <w:color w:val="000000" w:themeColor="text1"/>
          <w:sz w:val="26"/>
          <w:szCs w:val="26"/>
        </w:rPr>
      </w:pPr>
    </w:p>
    <w:tbl>
      <w:tblPr>
        <w:tblStyle w:val="Tablaconcuadrcula"/>
        <w:tblW w:w="0" w:type="auto"/>
        <w:tblLook w:val="04A0" w:firstRow="1" w:lastRow="0" w:firstColumn="1" w:lastColumn="0" w:noHBand="0" w:noVBand="1"/>
      </w:tblPr>
      <w:tblGrid>
        <w:gridCol w:w="3037"/>
        <w:gridCol w:w="3038"/>
        <w:gridCol w:w="3038"/>
      </w:tblGrid>
      <w:tr w:rsidR="00927900" w:rsidRPr="00227968" w:rsidTr="00927900">
        <w:tc>
          <w:tcPr>
            <w:tcW w:w="3037" w:type="dxa"/>
          </w:tcPr>
          <w:p w:rsidR="00927900" w:rsidRPr="00227968" w:rsidRDefault="00927900" w:rsidP="00227968">
            <w:pPr>
              <w:contextualSpacing w:val="0"/>
              <w:jc w:val="center"/>
              <w:rPr>
                <w:rFonts w:eastAsia="Calibri"/>
                <w:b/>
                <w:color w:val="000000" w:themeColor="text1"/>
                <w:sz w:val="26"/>
                <w:szCs w:val="26"/>
              </w:rPr>
            </w:pPr>
            <w:r w:rsidRPr="00227968">
              <w:rPr>
                <w:rFonts w:eastAsia="Calibri"/>
                <w:b/>
                <w:color w:val="000000" w:themeColor="text1"/>
                <w:sz w:val="26"/>
                <w:szCs w:val="26"/>
              </w:rPr>
              <w:t>Texto Radicado</w:t>
            </w:r>
          </w:p>
        </w:tc>
        <w:tc>
          <w:tcPr>
            <w:tcW w:w="3038" w:type="dxa"/>
          </w:tcPr>
          <w:p w:rsidR="00927900" w:rsidRPr="00227968" w:rsidRDefault="00927900" w:rsidP="00227968">
            <w:pPr>
              <w:contextualSpacing w:val="0"/>
              <w:jc w:val="center"/>
              <w:rPr>
                <w:rFonts w:eastAsia="Calibri"/>
                <w:b/>
                <w:color w:val="000000" w:themeColor="text1"/>
                <w:sz w:val="26"/>
                <w:szCs w:val="26"/>
              </w:rPr>
            </w:pPr>
            <w:r w:rsidRPr="00227968">
              <w:rPr>
                <w:rFonts w:eastAsia="Calibri"/>
                <w:b/>
                <w:color w:val="000000" w:themeColor="text1"/>
                <w:sz w:val="26"/>
                <w:szCs w:val="26"/>
              </w:rPr>
              <w:t>Texto Propuesto</w:t>
            </w:r>
          </w:p>
        </w:tc>
        <w:tc>
          <w:tcPr>
            <w:tcW w:w="3038" w:type="dxa"/>
          </w:tcPr>
          <w:p w:rsidR="00927900" w:rsidRPr="00227968" w:rsidRDefault="00927900" w:rsidP="00227968">
            <w:pPr>
              <w:contextualSpacing w:val="0"/>
              <w:jc w:val="center"/>
              <w:rPr>
                <w:rFonts w:eastAsia="Calibri"/>
                <w:b/>
                <w:color w:val="000000" w:themeColor="text1"/>
                <w:sz w:val="26"/>
                <w:szCs w:val="26"/>
              </w:rPr>
            </w:pPr>
            <w:r w:rsidRPr="00227968">
              <w:rPr>
                <w:rFonts w:eastAsia="Calibri"/>
                <w:b/>
                <w:color w:val="000000" w:themeColor="text1"/>
                <w:sz w:val="26"/>
                <w:szCs w:val="26"/>
              </w:rPr>
              <w:t>Observación</w:t>
            </w:r>
          </w:p>
        </w:tc>
      </w:tr>
      <w:tr w:rsidR="00927900" w:rsidRPr="003663B9" w:rsidTr="00927900">
        <w:tc>
          <w:tcPr>
            <w:tcW w:w="3037" w:type="dxa"/>
          </w:tcPr>
          <w:p w:rsidR="00227968" w:rsidRPr="00227968" w:rsidRDefault="00227968" w:rsidP="00227968">
            <w:pPr>
              <w:pBdr>
                <w:top w:val="nil"/>
                <w:left w:val="nil"/>
                <w:bottom w:val="nil"/>
                <w:right w:val="nil"/>
                <w:between w:val="nil"/>
              </w:pBdr>
              <w:jc w:val="both"/>
              <w:rPr>
                <w:rFonts w:ascii="Arial Narrow" w:hAnsi="Arial Narrow"/>
                <w:color w:val="000000"/>
                <w:szCs w:val="26"/>
              </w:rPr>
            </w:pPr>
            <w:r w:rsidRPr="00227968">
              <w:rPr>
                <w:rFonts w:ascii="Arial Narrow" w:hAnsi="Arial Narrow"/>
                <w:b/>
                <w:color w:val="000000"/>
                <w:szCs w:val="26"/>
              </w:rPr>
              <w:t>Artículo 6°.</w:t>
            </w:r>
            <w:r w:rsidRPr="00227968">
              <w:rPr>
                <w:rFonts w:ascii="Arial Narrow" w:hAnsi="Arial Narrow"/>
                <w:color w:val="000000"/>
                <w:szCs w:val="26"/>
              </w:rPr>
              <w:t xml:space="preserve"> En aquellos inmuebles que la entidad territorial no tenga el derecho por prescripción adquisitiva, podrá iniciar el proceso establecido en la ley </w:t>
            </w:r>
            <w:r w:rsidRPr="00227968">
              <w:rPr>
                <w:rFonts w:ascii="Arial Narrow" w:hAnsi="Arial Narrow"/>
                <w:b/>
                <w:strike/>
                <w:color w:val="FF0000"/>
                <w:szCs w:val="26"/>
              </w:rPr>
              <w:t>1742</w:t>
            </w:r>
            <w:r w:rsidRPr="00227968">
              <w:rPr>
                <w:rFonts w:ascii="Arial Narrow" w:hAnsi="Arial Narrow"/>
                <w:color w:val="000000"/>
                <w:szCs w:val="26"/>
              </w:rPr>
              <w:t xml:space="preserve"> de </w:t>
            </w:r>
            <w:r w:rsidRPr="00227968">
              <w:rPr>
                <w:rFonts w:ascii="Arial Narrow" w:hAnsi="Arial Narrow"/>
                <w:b/>
                <w:strike/>
                <w:color w:val="FF0000"/>
                <w:szCs w:val="26"/>
              </w:rPr>
              <w:t>2014</w:t>
            </w:r>
            <w:r w:rsidRPr="00227968">
              <w:rPr>
                <w:rFonts w:ascii="Arial Narrow" w:hAnsi="Arial Narrow"/>
                <w:color w:val="000000"/>
                <w:szCs w:val="26"/>
              </w:rPr>
              <w:t>, o norma que la sustituya o modifique.</w:t>
            </w:r>
          </w:p>
          <w:p w:rsidR="00227968" w:rsidRPr="00227968" w:rsidRDefault="00227968" w:rsidP="00227968">
            <w:pPr>
              <w:pBdr>
                <w:top w:val="nil"/>
                <w:left w:val="nil"/>
                <w:bottom w:val="nil"/>
                <w:right w:val="nil"/>
                <w:between w:val="nil"/>
              </w:pBdr>
              <w:jc w:val="both"/>
              <w:rPr>
                <w:rFonts w:ascii="Arial Narrow" w:hAnsi="Arial Narrow"/>
                <w:color w:val="000000"/>
                <w:szCs w:val="26"/>
              </w:rPr>
            </w:pPr>
          </w:p>
          <w:p w:rsidR="00227968" w:rsidRPr="00227968" w:rsidRDefault="00227968" w:rsidP="00227968">
            <w:pPr>
              <w:pBdr>
                <w:top w:val="nil"/>
                <w:left w:val="nil"/>
                <w:bottom w:val="nil"/>
                <w:right w:val="nil"/>
                <w:between w:val="nil"/>
              </w:pBdr>
              <w:jc w:val="both"/>
              <w:rPr>
                <w:rFonts w:ascii="Arial Narrow" w:hAnsi="Arial Narrow"/>
                <w:color w:val="000000"/>
                <w:szCs w:val="26"/>
              </w:rPr>
            </w:pPr>
            <w:r w:rsidRPr="00227968">
              <w:rPr>
                <w:rFonts w:ascii="Arial Narrow" w:hAnsi="Arial Narrow"/>
                <w:b/>
                <w:color w:val="000000"/>
                <w:szCs w:val="26"/>
              </w:rPr>
              <w:t>Parágrafo.</w:t>
            </w:r>
            <w:r w:rsidRPr="00227968">
              <w:rPr>
                <w:rFonts w:ascii="Arial Narrow" w:hAnsi="Arial Narrow"/>
                <w:color w:val="000000"/>
                <w:szCs w:val="26"/>
              </w:rPr>
              <w:t xml:space="preserve"> Para la adquisición de predios nuevos en aras de ampliación o construcción de instalaciones para el equipamiento público, se utilizará el proceso establecido en la ley </w:t>
            </w:r>
            <w:r w:rsidRPr="00227968">
              <w:rPr>
                <w:rFonts w:ascii="Arial Narrow" w:hAnsi="Arial Narrow"/>
                <w:b/>
                <w:strike/>
                <w:color w:val="FF0000"/>
                <w:szCs w:val="26"/>
              </w:rPr>
              <w:t>1742</w:t>
            </w:r>
            <w:r w:rsidRPr="00227968">
              <w:rPr>
                <w:rFonts w:ascii="Arial Narrow" w:hAnsi="Arial Narrow"/>
                <w:color w:val="000000"/>
                <w:szCs w:val="26"/>
              </w:rPr>
              <w:t xml:space="preserve"> de </w:t>
            </w:r>
            <w:r w:rsidRPr="00227968">
              <w:rPr>
                <w:rFonts w:ascii="Arial Narrow" w:hAnsi="Arial Narrow"/>
                <w:b/>
                <w:strike/>
                <w:color w:val="FF0000"/>
                <w:szCs w:val="26"/>
              </w:rPr>
              <w:t>2014</w:t>
            </w:r>
            <w:r w:rsidRPr="00227968">
              <w:rPr>
                <w:rFonts w:ascii="Arial Narrow" w:hAnsi="Arial Narrow"/>
                <w:color w:val="000000"/>
                <w:szCs w:val="26"/>
              </w:rPr>
              <w:t>, o en las normas que la sustituyan, modifiquen o adicionen.</w:t>
            </w:r>
          </w:p>
          <w:p w:rsidR="00927900" w:rsidRPr="003663B9" w:rsidRDefault="00927900" w:rsidP="00227968">
            <w:pPr>
              <w:pStyle w:val="Sinespaciado"/>
              <w:jc w:val="both"/>
              <w:rPr>
                <w:rFonts w:eastAsia="Calibri"/>
                <w:b/>
                <w:color w:val="000000" w:themeColor="text1"/>
                <w:sz w:val="26"/>
                <w:szCs w:val="26"/>
              </w:rPr>
            </w:pPr>
          </w:p>
        </w:tc>
        <w:tc>
          <w:tcPr>
            <w:tcW w:w="3038" w:type="dxa"/>
          </w:tcPr>
          <w:p w:rsidR="00227968" w:rsidRPr="00227968" w:rsidRDefault="00227968" w:rsidP="00227968">
            <w:pPr>
              <w:pBdr>
                <w:top w:val="nil"/>
                <w:left w:val="nil"/>
                <w:bottom w:val="nil"/>
                <w:right w:val="nil"/>
                <w:between w:val="nil"/>
              </w:pBdr>
              <w:jc w:val="both"/>
              <w:rPr>
                <w:rFonts w:ascii="Arial Narrow" w:hAnsi="Arial Narrow"/>
                <w:color w:val="000000"/>
                <w:szCs w:val="26"/>
              </w:rPr>
            </w:pPr>
            <w:r w:rsidRPr="00227968">
              <w:rPr>
                <w:rFonts w:ascii="Arial Narrow" w:hAnsi="Arial Narrow"/>
                <w:b/>
                <w:color w:val="000000"/>
                <w:szCs w:val="26"/>
              </w:rPr>
              <w:t>Artículo 6°.</w:t>
            </w:r>
            <w:r w:rsidRPr="00227968">
              <w:rPr>
                <w:rFonts w:ascii="Arial Narrow" w:hAnsi="Arial Narrow"/>
                <w:color w:val="000000"/>
                <w:szCs w:val="26"/>
              </w:rPr>
              <w:t xml:space="preserve"> En aquellos inmuebles que la entidad territorial no tenga el derecho por prescripción adquisitiva, podrá iniciar el proceso establecido en</w:t>
            </w:r>
            <w:r>
              <w:rPr>
                <w:rFonts w:ascii="Arial Narrow" w:hAnsi="Arial Narrow"/>
                <w:color w:val="000000"/>
                <w:szCs w:val="26"/>
              </w:rPr>
              <w:t xml:space="preserve"> </w:t>
            </w:r>
            <w:r w:rsidRPr="00227968">
              <w:rPr>
                <w:rFonts w:ascii="Arial Narrow" w:hAnsi="Arial Narrow"/>
                <w:color w:val="000000"/>
                <w:szCs w:val="26"/>
              </w:rPr>
              <w:t xml:space="preserve">la ley </w:t>
            </w:r>
            <w:r>
              <w:rPr>
                <w:rFonts w:ascii="Arial Narrow" w:hAnsi="Arial Narrow"/>
                <w:b/>
                <w:color w:val="000000"/>
                <w:szCs w:val="26"/>
                <w:u w:val="single"/>
              </w:rPr>
              <w:t>388</w:t>
            </w:r>
            <w:r w:rsidRPr="00227968">
              <w:rPr>
                <w:rFonts w:ascii="Arial Narrow" w:hAnsi="Arial Narrow"/>
                <w:color w:val="000000"/>
                <w:szCs w:val="26"/>
              </w:rPr>
              <w:t xml:space="preserve"> de </w:t>
            </w:r>
            <w:r w:rsidRPr="00227968">
              <w:rPr>
                <w:rFonts w:ascii="Arial Narrow" w:hAnsi="Arial Narrow"/>
                <w:b/>
                <w:color w:val="000000"/>
                <w:szCs w:val="26"/>
                <w:u w:val="single"/>
              </w:rPr>
              <w:t>1997</w:t>
            </w:r>
            <w:r w:rsidRPr="00227968">
              <w:rPr>
                <w:rFonts w:ascii="Arial Narrow" w:hAnsi="Arial Narrow"/>
                <w:color w:val="000000"/>
                <w:szCs w:val="26"/>
              </w:rPr>
              <w:t>, o norma que la sustituya o modifique.</w:t>
            </w:r>
          </w:p>
          <w:p w:rsidR="00227968" w:rsidRPr="00227968" w:rsidRDefault="00227968" w:rsidP="00227968">
            <w:pPr>
              <w:pBdr>
                <w:top w:val="nil"/>
                <w:left w:val="nil"/>
                <w:bottom w:val="nil"/>
                <w:right w:val="nil"/>
                <w:between w:val="nil"/>
              </w:pBdr>
              <w:jc w:val="both"/>
              <w:rPr>
                <w:rFonts w:ascii="Arial Narrow" w:hAnsi="Arial Narrow"/>
                <w:color w:val="000000"/>
                <w:szCs w:val="26"/>
              </w:rPr>
            </w:pPr>
          </w:p>
          <w:p w:rsidR="00227968" w:rsidRDefault="00227968" w:rsidP="00227968">
            <w:pPr>
              <w:pBdr>
                <w:top w:val="nil"/>
                <w:left w:val="nil"/>
                <w:bottom w:val="nil"/>
                <w:right w:val="nil"/>
                <w:between w:val="nil"/>
              </w:pBdr>
              <w:jc w:val="both"/>
              <w:rPr>
                <w:color w:val="000000"/>
                <w:sz w:val="26"/>
                <w:szCs w:val="26"/>
              </w:rPr>
            </w:pPr>
            <w:r w:rsidRPr="00227968">
              <w:rPr>
                <w:rFonts w:ascii="Arial Narrow" w:hAnsi="Arial Narrow"/>
                <w:b/>
                <w:color w:val="000000"/>
                <w:szCs w:val="26"/>
              </w:rPr>
              <w:t>Parágrafo.</w:t>
            </w:r>
            <w:r w:rsidRPr="00227968">
              <w:rPr>
                <w:rFonts w:ascii="Arial Narrow" w:hAnsi="Arial Narrow"/>
                <w:color w:val="000000"/>
                <w:szCs w:val="26"/>
              </w:rPr>
              <w:t xml:space="preserve"> Para la adquisición de predios nuevos en aras de ampliación o construcción de instalaciones para el equipamiento público, se utilizará el proceso establecido en la ley </w:t>
            </w:r>
            <w:r>
              <w:rPr>
                <w:rFonts w:ascii="Arial Narrow" w:hAnsi="Arial Narrow"/>
                <w:b/>
                <w:color w:val="000000"/>
                <w:szCs w:val="26"/>
                <w:u w:val="single"/>
              </w:rPr>
              <w:t xml:space="preserve">388 </w:t>
            </w:r>
            <w:r w:rsidRPr="00227968">
              <w:rPr>
                <w:rFonts w:ascii="Arial Narrow" w:hAnsi="Arial Narrow"/>
                <w:color w:val="000000"/>
                <w:szCs w:val="26"/>
              </w:rPr>
              <w:t xml:space="preserve">de </w:t>
            </w:r>
            <w:r>
              <w:rPr>
                <w:rFonts w:ascii="Arial Narrow" w:hAnsi="Arial Narrow"/>
                <w:b/>
                <w:color w:val="000000"/>
                <w:szCs w:val="26"/>
                <w:u w:val="single"/>
              </w:rPr>
              <w:t>1997</w:t>
            </w:r>
            <w:r w:rsidRPr="00227968">
              <w:rPr>
                <w:rFonts w:ascii="Arial Narrow" w:hAnsi="Arial Narrow"/>
                <w:color w:val="000000"/>
                <w:szCs w:val="26"/>
              </w:rPr>
              <w:t>, o en las normas que la sustituyan, modifiquen o adicionen.</w:t>
            </w:r>
          </w:p>
          <w:p w:rsidR="00927900" w:rsidRPr="003663B9" w:rsidRDefault="00927900" w:rsidP="00227968">
            <w:pPr>
              <w:pStyle w:val="Sinespaciado"/>
              <w:jc w:val="both"/>
              <w:rPr>
                <w:rFonts w:eastAsia="Calibri"/>
                <w:b/>
                <w:color w:val="000000" w:themeColor="text1"/>
                <w:sz w:val="26"/>
                <w:szCs w:val="26"/>
              </w:rPr>
            </w:pPr>
          </w:p>
        </w:tc>
        <w:tc>
          <w:tcPr>
            <w:tcW w:w="3038" w:type="dxa"/>
          </w:tcPr>
          <w:p w:rsidR="00927900" w:rsidRPr="003663B9" w:rsidRDefault="00227968" w:rsidP="00295F9D">
            <w:pPr>
              <w:contextualSpacing w:val="0"/>
              <w:jc w:val="both"/>
              <w:rPr>
                <w:rFonts w:ascii="Arial Narrow" w:eastAsia="Calibri" w:hAnsi="Arial Narrow"/>
                <w:color w:val="000000" w:themeColor="text1"/>
                <w:sz w:val="26"/>
                <w:szCs w:val="26"/>
              </w:rPr>
            </w:pPr>
            <w:r w:rsidRPr="00227968">
              <w:rPr>
                <w:rFonts w:ascii="Arial Narrow" w:eastAsia="Calibri" w:hAnsi="Arial Narrow"/>
                <w:color w:val="000000" w:themeColor="text1"/>
                <w:szCs w:val="26"/>
              </w:rPr>
              <w:t>Se ajusta la normatividad para el proceso de expropiación administrativa, toda vez, que la Ley 1742 de 2014 basa también su proceso de expropiación administrativa en la ley 388 de 1997.</w:t>
            </w:r>
          </w:p>
        </w:tc>
      </w:tr>
      <w:tr w:rsidR="00927900" w:rsidRPr="003663B9" w:rsidTr="00927900">
        <w:tc>
          <w:tcPr>
            <w:tcW w:w="3037" w:type="dxa"/>
          </w:tcPr>
          <w:p w:rsidR="00927900" w:rsidRPr="003663B9" w:rsidRDefault="00927900" w:rsidP="002265FE">
            <w:pPr>
              <w:pStyle w:val="Sinespaciado"/>
              <w:jc w:val="both"/>
              <w:rPr>
                <w:rFonts w:eastAsia="Calibri"/>
                <w:b/>
                <w:color w:val="000000" w:themeColor="text1"/>
                <w:sz w:val="26"/>
                <w:szCs w:val="26"/>
              </w:rPr>
            </w:pPr>
          </w:p>
        </w:tc>
        <w:tc>
          <w:tcPr>
            <w:tcW w:w="3038" w:type="dxa"/>
          </w:tcPr>
          <w:p w:rsidR="00927900" w:rsidRPr="006829EC" w:rsidRDefault="0031073B" w:rsidP="00295F9D">
            <w:pPr>
              <w:contextualSpacing w:val="0"/>
              <w:jc w:val="both"/>
              <w:rPr>
                <w:rFonts w:ascii="Arial Narrow" w:eastAsia="Calibri" w:hAnsi="Arial Narrow"/>
                <w:b/>
                <w:color w:val="000000" w:themeColor="text1"/>
                <w:szCs w:val="26"/>
              </w:rPr>
            </w:pPr>
            <w:r w:rsidRPr="006829EC">
              <w:rPr>
                <w:rFonts w:ascii="Arial Narrow" w:eastAsia="Calibri" w:hAnsi="Arial Narrow"/>
                <w:b/>
                <w:color w:val="000000" w:themeColor="text1"/>
                <w:szCs w:val="26"/>
              </w:rPr>
              <w:t xml:space="preserve">Artículo </w:t>
            </w:r>
            <w:r w:rsidR="006829EC" w:rsidRPr="006829EC">
              <w:rPr>
                <w:rFonts w:ascii="Arial Narrow" w:eastAsia="Calibri" w:hAnsi="Arial Narrow"/>
                <w:b/>
                <w:color w:val="000000" w:themeColor="text1"/>
                <w:szCs w:val="26"/>
              </w:rPr>
              <w:t>10</w:t>
            </w:r>
            <w:r w:rsidRPr="006829EC">
              <w:rPr>
                <w:rFonts w:ascii="Arial Narrow" w:eastAsia="Calibri" w:hAnsi="Arial Narrow"/>
                <w:b/>
                <w:color w:val="000000" w:themeColor="text1"/>
                <w:szCs w:val="26"/>
              </w:rPr>
              <w:t>. Modifíquese el literal a) del artículo 58 de la Ley 388 de 1997, el cual quedará así:</w:t>
            </w:r>
          </w:p>
          <w:p w:rsidR="0031073B" w:rsidRPr="006829EC" w:rsidRDefault="0031073B" w:rsidP="00295F9D">
            <w:pPr>
              <w:contextualSpacing w:val="0"/>
              <w:jc w:val="both"/>
              <w:rPr>
                <w:rFonts w:ascii="Arial Narrow" w:eastAsia="Calibri" w:hAnsi="Arial Narrow"/>
                <w:b/>
                <w:color w:val="000000" w:themeColor="text1"/>
                <w:szCs w:val="26"/>
              </w:rPr>
            </w:pPr>
          </w:p>
          <w:p w:rsidR="0031073B" w:rsidRPr="006829EC" w:rsidRDefault="0031073B" w:rsidP="00295F9D">
            <w:pPr>
              <w:contextualSpacing w:val="0"/>
              <w:jc w:val="both"/>
              <w:rPr>
                <w:rFonts w:ascii="Arial Narrow" w:hAnsi="Arial Narrow"/>
                <w:b/>
                <w:szCs w:val="18"/>
              </w:rPr>
            </w:pPr>
            <w:r w:rsidRPr="006829EC">
              <w:rPr>
                <w:rFonts w:ascii="Arial Narrow" w:hAnsi="Arial Narrow"/>
                <w:b/>
                <w:szCs w:val="18"/>
              </w:rPr>
              <w:t>a) Ejecución de proyectos de construcción</w:t>
            </w:r>
            <w:r w:rsidR="006829EC" w:rsidRPr="006829EC">
              <w:rPr>
                <w:rFonts w:ascii="Arial Narrow" w:hAnsi="Arial Narrow"/>
                <w:b/>
                <w:szCs w:val="18"/>
              </w:rPr>
              <w:t>,</w:t>
            </w:r>
            <w:r w:rsidR="002265FE" w:rsidRPr="006829EC">
              <w:rPr>
                <w:rFonts w:ascii="Arial Narrow" w:hAnsi="Arial Narrow"/>
                <w:b/>
                <w:szCs w:val="18"/>
                <w:u w:val="single"/>
              </w:rPr>
              <w:t xml:space="preserve"> adecuación</w:t>
            </w:r>
            <w:r w:rsidR="006829EC" w:rsidRPr="006829EC">
              <w:rPr>
                <w:rFonts w:ascii="Arial Narrow" w:hAnsi="Arial Narrow"/>
                <w:b/>
                <w:szCs w:val="18"/>
                <w:u w:val="single"/>
              </w:rPr>
              <w:t xml:space="preserve"> o mejoramiento</w:t>
            </w:r>
            <w:r w:rsidRPr="006829EC">
              <w:rPr>
                <w:rFonts w:ascii="Arial Narrow" w:hAnsi="Arial Narrow"/>
                <w:b/>
                <w:szCs w:val="18"/>
              </w:rPr>
              <w:t xml:space="preserve"> de infraestructura social en los sectores de la salud, educación, </w:t>
            </w:r>
            <w:r w:rsidR="002C59B2" w:rsidRPr="006F0D77">
              <w:rPr>
                <w:rFonts w:ascii="Arial Narrow" w:hAnsi="Arial Narrow"/>
                <w:b/>
                <w:szCs w:val="18"/>
                <w:u w:val="single"/>
              </w:rPr>
              <w:t>deporte</w:t>
            </w:r>
            <w:r w:rsidR="002C59B2">
              <w:rPr>
                <w:rFonts w:ascii="Arial Narrow" w:hAnsi="Arial Narrow"/>
                <w:b/>
                <w:szCs w:val="18"/>
              </w:rPr>
              <w:t>,</w:t>
            </w:r>
            <w:r w:rsidR="002C59B2" w:rsidRPr="006829EC">
              <w:rPr>
                <w:rFonts w:ascii="Arial Narrow" w:hAnsi="Arial Narrow"/>
                <w:b/>
                <w:szCs w:val="18"/>
              </w:rPr>
              <w:t xml:space="preserve"> </w:t>
            </w:r>
            <w:r w:rsidRPr="006829EC">
              <w:rPr>
                <w:rFonts w:ascii="Arial Narrow" w:hAnsi="Arial Narrow"/>
                <w:b/>
                <w:szCs w:val="18"/>
              </w:rPr>
              <w:t>recreación,</w:t>
            </w:r>
            <w:r w:rsidR="006F0D77">
              <w:rPr>
                <w:rFonts w:ascii="Arial Narrow" w:hAnsi="Arial Narrow"/>
                <w:szCs w:val="18"/>
                <w:u w:val="single"/>
              </w:rPr>
              <w:t xml:space="preserve"> </w:t>
            </w:r>
            <w:r w:rsidRPr="006829EC">
              <w:rPr>
                <w:rFonts w:ascii="Arial Narrow" w:hAnsi="Arial Narrow"/>
                <w:b/>
                <w:szCs w:val="18"/>
              </w:rPr>
              <w:t>centrales de abasto y seguridad ciudadana;</w:t>
            </w:r>
          </w:p>
          <w:p w:rsidR="002265FE" w:rsidRPr="002265FE" w:rsidRDefault="002265FE" w:rsidP="00295F9D">
            <w:pPr>
              <w:contextualSpacing w:val="0"/>
              <w:jc w:val="both"/>
              <w:rPr>
                <w:rFonts w:ascii="Arial Narrow" w:eastAsia="Calibri" w:hAnsi="Arial Narrow"/>
                <w:b/>
                <w:color w:val="000000" w:themeColor="text1"/>
                <w:sz w:val="26"/>
                <w:szCs w:val="26"/>
              </w:rPr>
            </w:pPr>
          </w:p>
        </w:tc>
        <w:tc>
          <w:tcPr>
            <w:tcW w:w="3038" w:type="dxa"/>
          </w:tcPr>
          <w:p w:rsidR="00927900" w:rsidRPr="002265FE" w:rsidRDefault="002265FE" w:rsidP="002265FE">
            <w:pPr>
              <w:contextualSpacing w:val="0"/>
              <w:jc w:val="both"/>
              <w:rPr>
                <w:rFonts w:ascii="Arial Narrow" w:eastAsia="Calibri" w:hAnsi="Arial Narrow"/>
                <w:color w:val="000000" w:themeColor="text1"/>
                <w:sz w:val="26"/>
                <w:szCs w:val="26"/>
              </w:rPr>
            </w:pPr>
            <w:r w:rsidRPr="002265FE">
              <w:rPr>
                <w:rFonts w:ascii="Arial Narrow" w:eastAsia="Calibri" w:hAnsi="Arial Narrow"/>
                <w:color w:val="000000" w:themeColor="text1"/>
                <w:szCs w:val="26"/>
              </w:rPr>
              <w:t>Se modifica este literal para darle un mayor alcance al mismo cuando se decida declarar un bien de interés público</w:t>
            </w:r>
            <w:r>
              <w:rPr>
                <w:rFonts w:ascii="Arial Narrow" w:eastAsia="Calibri" w:hAnsi="Arial Narrow"/>
                <w:color w:val="000000" w:themeColor="text1"/>
                <w:szCs w:val="26"/>
              </w:rPr>
              <w:t xml:space="preserve"> que no sea objeto por prescripción adquisitiva por parte de la entidad territorial y que cuente </w:t>
            </w:r>
            <w:r w:rsidR="006829EC">
              <w:rPr>
                <w:rFonts w:ascii="Arial Narrow" w:eastAsia="Calibri" w:hAnsi="Arial Narrow"/>
                <w:color w:val="000000" w:themeColor="text1"/>
                <w:szCs w:val="26"/>
              </w:rPr>
              <w:t xml:space="preserve">con una infraestructura ya construida y que sea susceptible de adecuación o mejoramiento. </w:t>
            </w:r>
          </w:p>
        </w:tc>
      </w:tr>
      <w:tr w:rsidR="006829EC" w:rsidRPr="003663B9" w:rsidTr="00927900">
        <w:tc>
          <w:tcPr>
            <w:tcW w:w="3037" w:type="dxa"/>
          </w:tcPr>
          <w:p w:rsidR="006829EC" w:rsidRPr="006829EC" w:rsidRDefault="006829EC" w:rsidP="002265FE">
            <w:pPr>
              <w:pStyle w:val="Sinespaciado"/>
              <w:jc w:val="both"/>
              <w:rPr>
                <w:rFonts w:ascii="Arial Narrow" w:eastAsia="Calibri" w:hAnsi="Arial Narrow"/>
                <w:b/>
                <w:color w:val="000000" w:themeColor="text1"/>
                <w:sz w:val="26"/>
                <w:szCs w:val="26"/>
              </w:rPr>
            </w:pPr>
            <w:r w:rsidRPr="006829EC">
              <w:rPr>
                <w:rFonts w:ascii="Arial Narrow" w:eastAsia="Arial" w:hAnsi="Arial Narrow" w:cs="Arial"/>
                <w:b/>
                <w:color w:val="000000"/>
                <w:szCs w:val="26"/>
              </w:rPr>
              <w:t xml:space="preserve">Artículo 10°. </w:t>
            </w:r>
            <w:r w:rsidRPr="006829EC">
              <w:rPr>
                <w:rFonts w:ascii="Arial Narrow" w:eastAsia="Arial" w:hAnsi="Arial Narrow" w:cs="Arial"/>
                <w:b/>
                <w:i/>
                <w:color w:val="000000"/>
                <w:szCs w:val="26"/>
              </w:rPr>
              <w:t>Vigencia</w:t>
            </w:r>
            <w:r w:rsidRPr="006829EC">
              <w:rPr>
                <w:rFonts w:ascii="Arial Narrow" w:eastAsia="Arial" w:hAnsi="Arial Narrow" w:cs="Arial"/>
                <w:b/>
                <w:color w:val="000000"/>
                <w:szCs w:val="26"/>
              </w:rPr>
              <w:t>.</w:t>
            </w:r>
            <w:r w:rsidRPr="006829EC">
              <w:rPr>
                <w:rFonts w:ascii="Arial Narrow" w:eastAsia="Arial" w:hAnsi="Arial Narrow" w:cs="Arial"/>
                <w:color w:val="000000"/>
                <w:szCs w:val="26"/>
              </w:rPr>
              <w:t xml:space="preserve"> Esta ley empezará a regir a partir de su promulgación y deroga todas las disposiciones que le sean contrarias.</w:t>
            </w:r>
          </w:p>
        </w:tc>
        <w:tc>
          <w:tcPr>
            <w:tcW w:w="3038" w:type="dxa"/>
          </w:tcPr>
          <w:p w:rsidR="006829EC" w:rsidRPr="0031073B" w:rsidRDefault="006829EC" w:rsidP="006829EC">
            <w:pPr>
              <w:contextualSpacing w:val="0"/>
              <w:jc w:val="both"/>
              <w:rPr>
                <w:rFonts w:ascii="Arial Narrow" w:eastAsia="Calibri" w:hAnsi="Arial Narrow"/>
                <w:b/>
                <w:color w:val="000000" w:themeColor="text1"/>
                <w:szCs w:val="26"/>
              </w:rPr>
            </w:pPr>
            <w:r w:rsidRPr="006829EC">
              <w:rPr>
                <w:rFonts w:ascii="Arial Narrow" w:hAnsi="Arial Narrow"/>
                <w:b/>
                <w:color w:val="000000"/>
                <w:szCs w:val="26"/>
              </w:rPr>
              <w:t>Artículo 1</w:t>
            </w:r>
            <w:r>
              <w:rPr>
                <w:rFonts w:ascii="Arial Narrow" w:hAnsi="Arial Narrow"/>
                <w:b/>
                <w:color w:val="000000"/>
                <w:szCs w:val="26"/>
                <w:u w:val="single"/>
              </w:rPr>
              <w:t>1</w:t>
            </w:r>
            <w:r w:rsidRPr="006829EC">
              <w:rPr>
                <w:rFonts w:ascii="Arial Narrow" w:hAnsi="Arial Narrow"/>
                <w:b/>
                <w:color w:val="000000"/>
                <w:szCs w:val="26"/>
              </w:rPr>
              <w:t xml:space="preserve">°. </w:t>
            </w:r>
            <w:r w:rsidRPr="006829EC">
              <w:rPr>
                <w:rFonts w:ascii="Arial Narrow" w:hAnsi="Arial Narrow"/>
                <w:b/>
                <w:i/>
                <w:color w:val="000000"/>
                <w:szCs w:val="26"/>
              </w:rPr>
              <w:t>Vigencia</w:t>
            </w:r>
            <w:r w:rsidRPr="006829EC">
              <w:rPr>
                <w:rFonts w:ascii="Arial Narrow" w:hAnsi="Arial Narrow"/>
                <w:b/>
                <w:color w:val="000000"/>
                <w:szCs w:val="26"/>
              </w:rPr>
              <w:t>.</w:t>
            </w:r>
            <w:r w:rsidRPr="006829EC">
              <w:rPr>
                <w:rFonts w:ascii="Arial Narrow" w:hAnsi="Arial Narrow"/>
                <w:color w:val="000000"/>
                <w:szCs w:val="26"/>
              </w:rPr>
              <w:t xml:space="preserve"> Esta ley empezará a regir a partir de su promulgación y deroga todas las disposiciones que le sean contrarias.</w:t>
            </w:r>
          </w:p>
        </w:tc>
        <w:tc>
          <w:tcPr>
            <w:tcW w:w="3038" w:type="dxa"/>
          </w:tcPr>
          <w:p w:rsidR="006829EC" w:rsidRPr="002265FE" w:rsidRDefault="006829EC" w:rsidP="002265FE">
            <w:pPr>
              <w:contextualSpacing w:val="0"/>
              <w:jc w:val="both"/>
              <w:rPr>
                <w:rFonts w:ascii="Arial Narrow" w:eastAsia="Calibri" w:hAnsi="Arial Narrow"/>
                <w:color w:val="000000" w:themeColor="text1"/>
                <w:szCs w:val="26"/>
              </w:rPr>
            </w:pPr>
          </w:p>
        </w:tc>
      </w:tr>
    </w:tbl>
    <w:p w:rsidR="00927900" w:rsidRPr="00EF4925" w:rsidRDefault="00927900" w:rsidP="006829EC">
      <w:pPr>
        <w:spacing w:line="240" w:lineRule="auto"/>
        <w:contextualSpacing w:val="0"/>
        <w:jc w:val="both"/>
        <w:rPr>
          <w:rFonts w:eastAsia="Calibri"/>
          <w:b/>
          <w:color w:val="000000" w:themeColor="text1"/>
          <w:sz w:val="24"/>
          <w:szCs w:val="26"/>
        </w:rPr>
      </w:pPr>
    </w:p>
    <w:p w:rsidR="00295F9D" w:rsidRPr="00EF4925" w:rsidRDefault="00295F9D" w:rsidP="006829EC">
      <w:pPr>
        <w:spacing w:line="240" w:lineRule="auto"/>
        <w:contextualSpacing w:val="0"/>
        <w:jc w:val="both"/>
        <w:rPr>
          <w:rFonts w:eastAsia="Calibri"/>
          <w:b/>
          <w:color w:val="000000" w:themeColor="text1"/>
          <w:sz w:val="24"/>
          <w:szCs w:val="26"/>
        </w:rPr>
      </w:pPr>
    </w:p>
    <w:p w:rsidR="006537E0" w:rsidRPr="003663B9" w:rsidRDefault="006564A1" w:rsidP="006829EC">
      <w:pPr>
        <w:spacing w:line="240" w:lineRule="auto"/>
        <w:ind w:firstLine="195"/>
        <w:rPr>
          <w:b/>
          <w:sz w:val="26"/>
          <w:szCs w:val="26"/>
        </w:rPr>
      </w:pPr>
      <w:r w:rsidRPr="003663B9">
        <w:rPr>
          <w:rFonts w:eastAsia="Calibri"/>
          <w:b/>
          <w:color w:val="000000" w:themeColor="text1"/>
          <w:sz w:val="26"/>
          <w:szCs w:val="26"/>
        </w:rPr>
        <w:t>V</w:t>
      </w:r>
      <w:r w:rsidR="00927900" w:rsidRPr="003663B9">
        <w:rPr>
          <w:rFonts w:eastAsia="Calibri"/>
          <w:b/>
          <w:color w:val="000000" w:themeColor="text1"/>
          <w:sz w:val="26"/>
          <w:szCs w:val="26"/>
        </w:rPr>
        <w:t>I</w:t>
      </w:r>
      <w:r w:rsidR="00295F9D" w:rsidRPr="003663B9">
        <w:rPr>
          <w:rFonts w:eastAsia="Calibri"/>
          <w:b/>
          <w:color w:val="000000" w:themeColor="text1"/>
          <w:sz w:val="26"/>
          <w:szCs w:val="26"/>
        </w:rPr>
        <w:t xml:space="preserve">. </w:t>
      </w:r>
      <w:r w:rsidR="006537E0" w:rsidRPr="003663B9">
        <w:rPr>
          <w:b/>
          <w:sz w:val="26"/>
          <w:szCs w:val="26"/>
        </w:rPr>
        <w:t>CONFLICTOS DE INTERÉS</w:t>
      </w:r>
    </w:p>
    <w:p w:rsidR="006537E0" w:rsidRPr="00CE0926" w:rsidRDefault="006537E0" w:rsidP="006829EC">
      <w:pPr>
        <w:spacing w:line="240" w:lineRule="auto"/>
        <w:jc w:val="both"/>
        <w:rPr>
          <w:szCs w:val="26"/>
        </w:rPr>
      </w:pPr>
    </w:p>
    <w:p w:rsidR="006537E0" w:rsidRPr="003663B9" w:rsidRDefault="00EF4925" w:rsidP="006829EC">
      <w:pPr>
        <w:spacing w:line="240" w:lineRule="auto"/>
        <w:ind w:firstLine="6"/>
        <w:jc w:val="both"/>
        <w:rPr>
          <w:sz w:val="26"/>
          <w:szCs w:val="26"/>
        </w:rPr>
      </w:pPr>
      <w:r>
        <w:rPr>
          <w:sz w:val="26"/>
          <w:szCs w:val="26"/>
        </w:rPr>
        <w:t>Dando cumplimiento</w:t>
      </w:r>
      <w:r w:rsidR="006537E0" w:rsidRPr="003663B9">
        <w:rPr>
          <w:sz w:val="26"/>
          <w:szCs w:val="26"/>
        </w:rPr>
        <w:t xml:space="preserve"> a lo establecido en el artículo 3 de la Ley 2003 del 19 de noviembre de 2019, por la cual se modifica parcialmente la Ley 5 de 1992, se hacen las siguientes consideraciones:</w:t>
      </w:r>
    </w:p>
    <w:p w:rsidR="006537E0" w:rsidRPr="003663B9" w:rsidRDefault="006537E0" w:rsidP="006829EC">
      <w:pPr>
        <w:spacing w:line="240" w:lineRule="auto"/>
        <w:ind w:firstLine="6"/>
        <w:jc w:val="both"/>
        <w:rPr>
          <w:sz w:val="26"/>
          <w:szCs w:val="26"/>
        </w:rPr>
      </w:pPr>
      <w:r w:rsidRPr="003663B9">
        <w:rPr>
          <w:sz w:val="26"/>
          <w:szCs w:val="26"/>
        </w:rPr>
        <w:t xml:space="preserve"> </w:t>
      </w:r>
    </w:p>
    <w:p w:rsidR="006537E0" w:rsidRPr="003663B9" w:rsidRDefault="006537E0" w:rsidP="006829EC">
      <w:pPr>
        <w:spacing w:line="240" w:lineRule="auto"/>
        <w:ind w:firstLine="6"/>
        <w:jc w:val="both"/>
        <w:rPr>
          <w:sz w:val="26"/>
          <w:szCs w:val="26"/>
        </w:rPr>
      </w:pPr>
      <w:r w:rsidRPr="003663B9">
        <w:rPr>
          <w:sz w:val="26"/>
          <w:szCs w:val="26"/>
        </w:rPr>
        <w:t xml:space="preserve">Frente al presente proyecto, se estima que podría generar posibles conflictos de interés, cuando se cuenten con familiares dentro de los grados exigidos por la ley, que sean titulares o con derechos </w:t>
      </w:r>
      <w:proofErr w:type="spellStart"/>
      <w:r w:rsidRPr="003663B9">
        <w:rPr>
          <w:sz w:val="26"/>
          <w:szCs w:val="26"/>
        </w:rPr>
        <w:t>sucesorales</w:t>
      </w:r>
      <w:proofErr w:type="spellEnd"/>
      <w:r w:rsidRPr="003663B9">
        <w:rPr>
          <w:sz w:val="26"/>
          <w:szCs w:val="26"/>
        </w:rPr>
        <w:t xml:space="preserve"> de predios donde funcionen establecimientos públicos y que no cumplan con los requisitos para ser adquiridos por prescripción, sino a través de lo establecido en la Ley 1742 de 2014. </w:t>
      </w:r>
    </w:p>
    <w:p w:rsidR="006537E0" w:rsidRPr="003663B9" w:rsidRDefault="006537E0" w:rsidP="006829EC">
      <w:pPr>
        <w:spacing w:line="240" w:lineRule="auto"/>
        <w:ind w:left="-700"/>
        <w:jc w:val="both"/>
        <w:rPr>
          <w:sz w:val="26"/>
          <w:szCs w:val="26"/>
        </w:rPr>
      </w:pPr>
    </w:p>
    <w:p w:rsidR="006537E0" w:rsidRPr="003663B9" w:rsidRDefault="006537E0" w:rsidP="006829EC">
      <w:pPr>
        <w:spacing w:line="240" w:lineRule="auto"/>
        <w:jc w:val="both"/>
        <w:rPr>
          <w:sz w:val="26"/>
          <w:szCs w:val="26"/>
        </w:rPr>
      </w:pPr>
      <w:r w:rsidRPr="003663B9">
        <w:rPr>
          <w:sz w:val="26"/>
          <w:szCs w:val="26"/>
        </w:rPr>
        <w:t>La descripción de los posibles conflictos de interés que se puedan presentar frente al trámite del presente proyecto de ley, conforme a lo dispuesto en el artículo 291 de la ley 5 de 1992 modificado por la ley 2003 de 2019, no exime del deber del Congresista de identificar otras causales adicionales.</w:t>
      </w:r>
    </w:p>
    <w:p w:rsidR="006537E0" w:rsidRPr="00CE0926" w:rsidRDefault="006537E0" w:rsidP="006829EC">
      <w:pPr>
        <w:spacing w:line="240" w:lineRule="auto"/>
        <w:contextualSpacing w:val="0"/>
        <w:jc w:val="both"/>
        <w:rPr>
          <w:rFonts w:eastAsia="Calibri"/>
          <w:b/>
          <w:color w:val="000000" w:themeColor="text1"/>
          <w:szCs w:val="26"/>
        </w:rPr>
      </w:pPr>
    </w:p>
    <w:p w:rsidR="006829EC" w:rsidRPr="00CE0926" w:rsidRDefault="006829EC" w:rsidP="006829EC">
      <w:pPr>
        <w:spacing w:line="240" w:lineRule="auto"/>
        <w:contextualSpacing w:val="0"/>
        <w:jc w:val="both"/>
        <w:rPr>
          <w:rFonts w:eastAsia="Calibri"/>
          <w:b/>
          <w:color w:val="000000" w:themeColor="text1"/>
          <w:szCs w:val="26"/>
        </w:rPr>
      </w:pPr>
    </w:p>
    <w:p w:rsidR="00160819" w:rsidRPr="003663B9" w:rsidRDefault="006537E0" w:rsidP="006829EC">
      <w:pPr>
        <w:spacing w:line="240" w:lineRule="auto"/>
        <w:ind w:left="720"/>
        <w:contextualSpacing w:val="0"/>
        <w:jc w:val="both"/>
        <w:rPr>
          <w:rFonts w:eastAsia="Calibri"/>
          <w:b/>
          <w:color w:val="000000" w:themeColor="text1"/>
          <w:sz w:val="26"/>
          <w:szCs w:val="26"/>
        </w:rPr>
      </w:pPr>
      <w:r w:rsidRPr="003663B9">
        <w:rPr>
          <w:rFonts w:eastAsia="Calibri"/>
          <w:b/>
          <w:color w:val="000000" w:themeColor="text1"/>
          <w:sz w:val="26"/>
          <w:szCs w:val="26"/>
        </w:rPr>
        <w:t xml:space="preserve">VII. </w:t>
      </w:r>
      <w:r w:rsidR="006E6254" w:rsidRPr="003663B9">
        <w:rPr>
          <w:rFonts w:eastAsia="Calibri"/>
          <w:b/>
          <w:color w:val="000000" w:themeColor="text1"/>
          <w:sz w:val="26"/>
          <w:szCs w:val="26"/>
        </w:rPr>
        <w:t>P</w:t>
      </w:r>
      <w:r w:rsidR="009146B7" w:rsidRPr="003663B9">
        <w:rPr>
          <w:rFonts w:eastAsia="Calibri"/>
          <w:b/>
          <w:color w:val="000000" w:themeColor="text1"/>
          <w:sz w:val="26"/>
          <w:szCs w:val="26"/>
        </w:rPr>
        <w:t>R</w:t>
      </w:r>
      <w:r w:rsidR="006E6254" w:rsidRPr="003663B9">
        <w:rPr>
          <w:rFonts w:eastAsia="Calibri"/>
          <w:b/>
          <w:color w:val="000000" w:themeColor="text1"/>
          <w:sz w:val="26"/>
          <w:szCs w:val="26"/>
        </w:rPr>
        <w:t>O</w:t>
      </w:r>
      <w:r w:rsidR="009146B7" w:rsidRPr="003663B9">
        <w:rPr>
          <w:rFonts w:eastAsia="Calibri"/>
          <w:b/>
          <w:color w:val="000000" w:themeColor="text1"/>
          <w:sz w:val="26"/>
          <w:szCs w:val="26"/>
        </w:rPr>
        <w:t>POSICIÓN</w:t>
      </w:r>
      <w:r w:rsidR="006E6254" w:rsidRPr="003663B9">
        <w:rPr>
          <w:rFonts w:eastAsia="Calibri"/>
          <w:b/>
          <w:color w:val="000000" w:themeColor="text1"/>
          <w:sz w:val="26"/>
          <w:szCs w:val="26"/>
        </w:rPr>
        <w:t xml:space="preserve"> </w:t>
      </w:r>
    </w:p>
    <w:p w:rsidR="00B50F88" w:rsidRPr="003663B9" w:rsidRDefault="00B50F88" w:rsidP="006829EC">
      <w:pPr>
        <w:spacing w:line="240" w:lineRule="auto"/>
        <w:contextualSpacing w:val="0"/>
        <w:rPr>
          <w:rFonts w:eastAsia="Calibri"/>
          <w:b/>
          <w:color w:val="000000" w:themeColor="text1"/>
          <w:sz w:val="26"/>
          <w:szCs w:val="26"/>
        </w:rPr>
      </w:pPr>
    </w:p>
    <w:p w:rsidR="00160819" w:rsidRPr="003663B9" w:rsidRDefault="006E6254" w:rsidP="006829EC">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 xml:space="preserve">Con fundamento en las razones aquí expuestas, </w:t>
      </w:r>
      <w:r w:rsidR="00FB50DD" w:rsidRPr="003663B9">
        <w:rPr>
          <w:rFonts w:eastAsia="Calibri"/>
          <w:color w:val="000000" w:themeColor="text1"/>
          <w:sz w:val="26"/>
          <w:szCs w:val="26"/>
        </w:rPr>
        <w:t>solicitó</w:t>
      </w:r>
      <w:r w:rsidR="00EA6747" w:rsidRPr="003663B9">
        <w:rPr>
          <w:rFonts w:eastAsia="Calibri"/>
          <w:color w:val="000000" w:themeColor="text1"/>
          <w:sz w:val="26"/>
          <w:szCs w:val="26"/>
        </w:rPr>
        <w:t xml:space="preserve"> de manera respetuosa a los Honorables R</w:t>
      </w:r>
      <w:r w:rsidRPr="003663B9">
        <w:rPr>
          <w:rFonts w:eastAsia="Calibri"/>
          <w:color w:val="000000" w:themeColor="text1"/>
          <w:sz w:val="26"/>
          <w:szCs w:val="26"/>
        </w:rPr>
        <w:t xml:space="preserve">epresentantes de la </w:t>
      </w:r>
      <w:r w:rsidR="00927900" w:rsidRPr="003663B9">
        <w:rPr>
          <w:rFonts w:eastAsia="Calibri"/>
          <w:color w:val="000000" w:themeColor="text1"/>
          <w:sz w:val="26"/>
          <w:szCs w:val="26"/>
        </w:rPr>
        <w:t>Comisión Primera</w:t>
      </w:r>
      <w:r w:rsidR="00E05E5A" w:rsidRPr="003663B9">
        <w:rPr>
          <w:rFonts w:eastAsia="Calibri"/>
          <w:color w:val="000000" w:themeColor="text1"/>
          <w:sz w:val="26"/>
          <w:szCs w:val="26"/>
        </w:rPr>
        <w:t xml:space="preserve"> de la </w:t>
      </w:r>
      <w:r w:rsidRPr="003663B9">
        <w:rPr>
          <w:rFonts w:eastAsia="Calibri"/>
          <w:color w:val="000000" w:themeColor="text1"/>
          <w:sz w:val="26"/>
          <w:szCs w:val="26"/>
        </w:rPr>
        <w:t>Cámara</w:t>
      </w:r>
      <w:r w:rsidR="00141426" w:rsidRPr="003663B9">
        <w:rPr>
          <w:rFonts w:eastAsia="Calibri"/>
          <w:color w:val="000000" w:themeColor="text1"/>
          <w:sz w:val="26"/>
          <w:szCs w:val="26"/>
        </w:rPr>
        <w:t xml:space="preserve"> de Representantes</w:t>
      </w:r>
      <w:r w:rsidRPr="003663B9">
        <w:rPr>
          <w:rFonts w:eastAsia="Calibri"/>
          <w:color w:val="000000" w:themeColor="text1"/>
          <w:sz w:val="26"/>
          <w:szCs w:val="26"/>
        </w:rPr>
        <w:t xml:space="preserve"> dar </w:t>
      </w:r>
      <w:r w:rsidR="00927900" w:rsidRPr="003663B9">
        <w:rPr>
          <w:rFonts w:eastAsia="Calibri"/>
          <w:color w:val="000000" w:themeColor="text1"/>
          <w:sz w:val="26"/>
          <w:szCs w:val="26"/>
        </w:rPr>
        <w:t>PRIMER</w:t>
      </w:r>
      <w:r w:rsidR="00C13168" w:rsidRPr="003663B9">
        <w:rPr>
          <w:rFonts w:eastAsia="Calibri"/>
          <w:color w:val="000000" w:themeColor="text1"/>
          <w:sz w:val="26"/>
          <w:szCs w:val="26"/>
        </w:rPr>
        <w:t xml:space="preserve"> DEBATE</w:t>
      </w:r>
      <w:r w:rsidR="003457C9" w:rsidRPr="003663B9">
        <w:rPr>
          <w:rFonts w:eastAsia="Calibri"/>
          <w:color w:val="000000" w:themeColor="text1"/>
          <w:sz w:val="26"/>
          <w:szCs w:val="26"/>
        </w:rPr>
        <w:t xml:space="preserve"> </w:t>
      </w:r>
      <w:r w:rsidR="00C13168" w:rsidRPr="003663B9">
        <w:rPr>
          <w:rFonts w:eastAsia="Calibri"/>
          <w:color w:val="000000" w:themeColor="text1"/>
          <w:sz w:val="26"/>
          <w:szCs w:val="26"/>
        </w:rPr>
        <w:t>a</w:t>
      </w:r>
      <w:r w:rsidRPr="003663B9">
        <w:rPr>
          <w:rFonts w:eastAsia="Calibri"/>
          <w:color w:val="000000" w:themeColor="text1"/>
          <w:sz w:val="26"/>
          <w:szCs w:val="26"/>
        </w:rPr>
        <w:t>l Proyec</w:t>
      </w:r>
      <w:r w:rsidR="003457C9" w:rsidRPr="003663B9">
        <w:rPr>
          <w:rFonts w:eastAsia="Calibri"/>
          <w:color w:val="000000" w:themeColor="text1"/>
          <w:sz w:val="26"/>
          <w:szCs w:val="26"/>
        </w:rPr>
        <w:t xml:space="preserve">to de </w:t>
      </w:r>
      <w:r w:rsidR="006537E0" w:rsidRPr="003663B9">
        <w:rPr>
          <w:rFonts w:eastAsia="Calibri"/>
          <w:color w:val="000000" w:themeColor="text1"/>
          <w:sz w:val="26"/>
          <w:szCs w:val="26"/>
        </w:rPr>
        <w:t>Ley N°</w:t>
      </w:r>
      <w:r w:rsidR="003457C9" w:rsidRPr="003663B9">
        <w:rPr>
          <w:rFonts w:eastAsia="Calibri"/>
          <w:color w:val="000000" w:themeColor="text1"/>
          <w:sz w:val="26"/>
          <w:szCs w:val="26"/>
        </w:rPr>
        <w:t xml:space="preserve"> </w:t>
      </w:r>
      <w:r w:rsidR="006537E0" w:rsidRPr="003663B9">
        <w:rPr>
          <w:rFonts w:eastAsia="Calibri"/>
          <w:color w:val="000000" w:themeColor="text1"/>
          <w:sz w:val="26"/>
          <w:szCs w:val="26"/>
        </w:rPr>
        <w:t>243</w:t>
      </w:r>
      <w:r w:rsidR="003457C9" w:rsidRPr="003663B9">
        <w:rPr>
          <w:rFonts w:eastAsia="Calibri"/>
          <w:color w:val="000000" w:themeColor="text1"/>
          <w:sz w:val="26"/>
          <w:szCs w:val="26"/>
        </w:rPr>
        <w:t xml:space="preserve"> </w:t>
      </w:r>
      <w:r w:rsidR="001F2144" w:rsidRPr="003663B9">
        <w:rPr>
          <w:rFonts w:eastAsia="Calibri"/>
          <w:color w:val="000000" w:themeColor="text1"/>
          <w:sz w:val="26"/>
          <w:szCs w:val="26"/>
        </w:rPr>
        <w:t>de 20</w:t>
      </w:r>
      <w:r w:rsidR="006537E0" w:rsidRPr="003663B9">
        <w:rPr>
          <w:rFonts w:eastAsia="Calibri"/>
          <w:color w:val="000000" w:themeColor="text1"/>
          <w:sz w:val="26"/>
          <w:szCs w:val="26"/>
        </w:rPr>
        <w:t>20</w:t>
      </w:r>
      <w:r w:rsidRPr="003663B9">
        <w:rPr>
          <w:rFonts w:eastAsia="Calibri"/>
          <w:color w:val="000000" w:themeColor="text1"/>
          <w:sz w:val="26"/>
          <w:szCs w:val="26"/>
        </w:rPr>
        <w:t xml:space="preserve"> Cámara,</w:t>
      </w:r>
      <w:r w:rsidRPr="003663B9">
        <w:rPr>
          <w:rFonts w:eastAsia="Calibri"/>
          <w:b/>
          <w:color w:val="000000" w:themeColor="text1"/>
          <w:sz w:val="26"/>
          <w:szCs w:val="26"/>
        </w:rPr>
        <w:t xml:space="preserve"> </w:t>
      </w:r>
      <w:r w:rsidR="00CE0926">
        <w:rPr>
          <w:b/>
          <w:sz w:val="26"/>
          <w:szCs w:val="26"/>
        </w:rPr>
        <w:t>“</w:t>
      </w:r>
      <w:r w:rsidR="00CE0926">
        <w:rPr>
          <w:i/>
          <w:sz w:val="26"/>
          <w:szCs w:val="26"/>
        </w:rPr>
        <w:t>Por medio de la cual se establecen lineamientos especiales para la adquisición de predios para las entidades territoriales por prescripción adquisitiva y se dictan otras disposiciones”</w:t>
      </w:r>
      <w:r w:rsidR="00CE0926">
        <w:rPr>
          <w:i/>
          <w:sz w:val="26"/>
          <w:szCs w:val="26"/>
        </w:rPr>
        <w:t xml:space="preserve"> </w:t>
      </w:r>
      <w:r w:rsidRPr="003663B9">
        <w:rPr>
          <w:rFonts w:eastAsia="Calibri"/>
          <w:color w:val="000000" w:themeColor="text1"/>
          <w:sz w:val="26"/>
          <w:szCs w:val="26"/>
        </w:rPr>
        <w:t xml:space="preserve">con el </w:t>
      </w:r>
      <w:r w:rsidR="009146B7" w:rsidRPr="003663B9">
        <w:rPr>
          <w:rFonts w:eastAsia="Calibri"/>
          <w:color w:val="000000" w:themeColor="text1"/>
          <w:sz w:val="26"/>
          <w:szCs w:val="26"/>
        </w:rPr>
        <w:t xml:space="preserve">texto </w:t>
      </w:r>
      <w:r w:rsidR="00295F9D" w:rsidRPr="003663B9">
        <w:rPr>
          <w:rFonts w:eastAsia="Calibri"/>
          <w:color w:val="000000" w:themeColor="text1"/>
          <w:sz w:val="26"/>
          <w:szCs w:val="26"/>
        </w:rPr>
        <w:t>propuesto</w:t>
      </w:r>
      <w:r w:rsidR="006B603E" w:rsidRPr="003663B9">
        <w:rPr>
          <w:rFonts w:eastAsia="Calibri"/>
          <w:color w:val="000000" w:themeColor="text1"/>
          <w:sz w:val="26"/>
          <w:szCs w:val="26"/>
        </w:rPr>
        <w:t>.</w:t>
      </w:r>
      <w:r w:rsidRPr="003663B9">
        <w:rPr>
          <w:rFonts w:eastAsia="Calibri"/>
          <w:color w:val="000000" w:themeColor="text1"/>
          <w:sz w:val="26"/>
          <w:szCs w:val="26"/>
        </w:rPr>
        <w:t xml:space="preserve"> </w:t>
      </w:r>
    </w:p>
    <w:p w:rsidR="00295F9D" w:rsidRPr="00CE0926" w:rsidRDefault="00295F9D" w:rsidP="006829EC">
      <w:pPr>
        <w:spacing w:line="240" w:lineRule="auto"/>
        <w:contextualSpacing w:val="0"/>
        <w:jc w:val="both"/>
        <w:rPr>
          <w:rFonts w:eastAsia="Calibri"/>
          <w:color w:val="000000" w:themeColor="text1"/>
          <w:szCs w:val="26"/>
        </w:rPr>
      </w:pPr>
    </w:p>
    <w:p w:rsidR="00EF4925" w:rsidRPr="00CE0926" w:rsidRDefault="00EF4925" w:rsidP="006829EC">
      <w:pPr>
        <w:spacing w:line="240" w:lineRule="auto"/>
        <w:contextualSpacing w:val="0"/>
        <w:jc w:val="both"/>
        <w:rPr>
          <w:rFonts w:eastAsia="Calibri"/>
          <w:color w:val="000000" w:themeColor="text1"/>
          <w:szCs w:val="26"/>
        </w:rPr>
      </w:pPr>
    </w:p>
    <w:p w:rsidR="00160819" w:rsidRPr="003663B9" w:rsidRDefault="006E6254" w:rsidP="006829EC">
      <w:pPr>
        <w:spacing w:line="240" w:lineRule="auto"/>
        <w:contextualSpacing w:val="0"/>
        <w:jc w:val="both"/>
        <w:rPr>
          <w:rFonts w:eastAsia="Calibri"/>
          <w:color w:val="000000" w:themeColor="text1"/>
          <w:sz w:val="26"/>
          <w:szCs w:val="26"/>
        </w:rPr>
      </w:pPr>
      <w:r w:rsidRPr="003663B9">
        <w:rPr>
          <w:rFonts w:eastAsia="Calibri"/>
          <w:color w:val="000000" w:themeColor="text1"/>
          <w:sz w:val="26"/>
          <w:szCs w:val="26"/>
        </w:rPr>
        <w:t xml:space="preserve">Cordialmente, </w:t>
      </w:r>
    </w:p>
    <w:p w:rsidR="00EA6747" w:rsidRPr="00CE0926" w:rsidRDefault="00EA6747" w:rsidP="006829EC">
      <w:pPr>
        <w:spacing w:line="240" w:lineRule="auto"/>
        <w:contextualSpacing w:val="0"/>
        <w:rPr>
          <w:rFonts w:eastAsia="Calibri"/>
          <w:color w:val="000000" w:themeColor="text1"/>
          <w:sz w:val="20"/>
          <w:szCs w:val="26"/>
        </w:rPr>
      </w:pPr>
    </w:p>
    <w:p w:rsidR="00E05E5A" w:rsidRPr="00CE0926" w:rsidRDefault="00E05E5A" w:rsidP="006829EC">
      <w:pPr>
        <w:spacing w:line="240" w:lineRule="auto"/>
        <w:contextualSpacing w:val="0"/>
        <w:rPr>
          <w:rFonts w:eastAsia="Calibri"/>
          <w:color w:val="000000" w:themeColor="text1"/>
          <w:sz w:val="20"/>
          <w:szCs w:val="26"/>
        </w:rPr>
      </w:pPr>
    </w:p>
    <w:p w:rsidR="00EF4925" w:rsidRPr="00CE0926" w:rsidRDefault="00EF4925" w:rsidP="006829EC">
      <w:pPr>
        <w:spacing w:line="240" w:lineRule="auto"/>
        <w:contextualSpacing w:val="0"/>
        <w:rPr>
          <w:rFonts w:eastAsia="Calibri"/>
          <w:color w:val="000000" w:themeColor="text1"/>
          <w:sz w:val="20"/>
          <w:szCs w:val="26"/>
        </w:rPr>
      </w:pPr>
    </w:p>
    <w:p w:rsidR="00927900" w:rsidRPr="003663B9" w:rsidRDefault="00EE5D72" w:rsidP="006829EC">
      <w:pPr>
        <w:spacing w:line="240" w:lineRule="auto"/>
        <w:contextualSpacing w:val="0"/>
        <w:jc w:val="center"/>
        <w:rPr>
          <w:rFonts w:eastAsia="Calibri"/>
          <w:b/>
          <w:color w:val="000000" w:themeColor="text1"/>
          <w:sz w:val="26"/>
          <w:szCs w:val="26"/>
        </w:rPr>
      </w:pPr>
      <w:r w:rsidRPr="003663B9">
        <w:rPr>
          <w:rFonts w:eastAsia="Calibri"/>
          <w:b/>
          <w:color w:val="000000" w:themeColor="text1"/>
          <w:sz w:val="26"/>
          <w:szCs w:val="26"/>
        </w:rPr>
        <w:t>JORGE ELIÉCER TAMAYO</w:t>
      </w:r>
      <w:r w:rsidR="00927900" w:rsidRPr="003663B9">
        <w:rPr>
          <w:rFonts w:eastAsia="Calibri"/>
          <w:b/>
          <w:color w:val="000000" w:themeColor="text1"/>
          <w:sz w:val="26"/>
          <w:szCs w:val="26"/>
        </w:rPr>
        <w:t xml:space="preserve"> MARULANDA</w:t>
      </w:r>
    </w:p>
    <w:p w:rsidR="003E63A9" w:rsidRPr="00B90CB0" w:rsidRDefault="00EE5D72" w:rsidP="00B90CB0">
      <w:pPr>
        <w:spacing w:line="240" w:lineRule="auto"/>
        <w:contextualSpacing w:val="0"/>
        <w:jc w:val="center"/>
        <w:rPr>
          <w:rFonts w:eastAsia="Calibri"/>
          <w:b/>
          <w:color w:val="000000" w:themeColor="text1"/>
          <w:sz w:val="26"/>
          <w:szCs w:val="26"/>
        </w:rPr>
      </w:pPr>
      <w:r w:rsidRPr="003663B9">
        <w:rPr>
          <w:rFonts w:eastAsia="Calibri"/>
          <w:b/>
          <w:color w:val="000000" w:themeColor="text1"/>
          <w:sz w:val="26"/>
          <w:szCs w:val="26"/>
        </w:rPr>
        <w:t>Representante a la Cámara</w:t>
      </w:r>
    </w:p>
    <w:p w:rsidR="003E63A9" w:rsidRDefault="003E63A9" w:rsidP="006829EC">
      <w:pPr>
        <w:spacing w:line="240" w:lineRule="auto"/>
        <w:jc w:val="center"/>
        <w:rPr>
          <w:b/>
          <w:color w:val="252525"/>
          <w:sz w:val="26"/>
          <w:szCs w:val="26"/>
        </w:rPr>
      </w:pPr>
      <w:r>
        <w:rPr>
          <w:b/>
          <w:sz w:val="26"/>
          <w:szCs w:val="26"/>
        </w:rPr>
        <w:t xml:space="preserve">VIII. TEXTO PROPUESTO PARA PRIMER DEBATE DEL PROYECTO DE LEY N° 243 </w:t>
      </w:r>
      <w:r w:rsidRPr="003E63A9">
        <w:rPr>
          <w:b/>
          <w:sz w:val="26"/>
          <w:szCs w:val="26"/>
          <w:highlight w:val="white"/>
        </w:rPr>
        <w:t>DE 2020 CÁMARA</w:t>
      </w:r>
      <w:r>
        <w:rPr>
          <w:b/>
          <w:color w:val="252525"/>
          <w:sz w:val="26"/>
          <w:szCs w:val="26"/>
          <w:highlight w:val="white"/>
        </w:rPr>
        <w:t xml:space="preserve"> </w:t>
      </w:r>
    </w:p>
    <w:p w:rsidR="003E63A9" w:rsidRDefault="003E63A9" w:rsidP="006829EC">
      <w:pPr>
        <w:spacing w:line="240" w:lineRule="auto"/>
        <w:jc w:val="center"/>
        <w:rPr>
          <w:b/>
          <w:color w:val="252525"/>
          <w:sz w:val="26"/>
          <w:szCs w:val="26"/>
        </w:rPr>
      </w:pPr>
    </w:p>
    <w:p w:rsidR="003E63A9" w:rsidRDefault="003E63A9" w:rsidP="006829EC">
      <w:pPr>
        <w:spacing w:line="240" w:lineRule="auto"/>
        <w:jc w:val="center"/>
        <w:rPr>
          <w:i/>
          <w:sz w:val="26"/>
          <w:szCs w:val="26"/>
        </w:rPr>
      </w:pPr>
      <w:r>
        <w:rPr>
          <w:b/>
          <w:sz w:val="26"/>
          <w:szCs w:val="26"/>
        </w:rPr>
        <w:t>“</w:t>
      </w:r>
      <w:r>
        <w:rPr>
          <w:i/>
          <w:sz w:val="26"/>
          <w:szCs w:val="26"/>
        </w:rPr>
        <w:t>Por medio de la cual se establecen lineamientos especiales para la adquisición de predios para las entidades territoriales por prescripción adquisitiva y se dictan otras disposiciones”</w:t>
      </w:r>
    </w:p>
    <w:p w:rsidR="003E63A9" w:rsidRDefault="003E63A9" w:rsidP="006829EC">
      <w:pPr>
        <w:spacing w:line="240" w:lineRule="auto"/>
        <w:jc w:val="center"/>
        <w:rPr>
          <w:b/>
          <w:sz w:val="26"/>
          <w:szCs w:val="26"/>
        </w:rPr>
      </w:pPr>
    </w:p>
    <w:p w:rsidR="003E63A9" w:rsidRDefault="003E63A9" w:rsidP="006829EC">
      <w:pPr>
        <w:spacing w:line="240" w:lineRule="auto"/>
        <w:jc w:val="center"/>
        <w:rPr>
          <w:color w:val="000000"/>
          <w:sz w:val="26"/>
          <w:szCs w:val="26"/>
        </w:rPr>
      </w:pPr>
      <w:r>
        <w:rPr>
          <w:color w:val="000000"/>
          <w:sz w:val="26"/>
          <w:szCs w:val="26"/>
        </w:rPr>
        <w:t>El Congreso de Colombia</w:t>
      </w:r>
    </w:p>
    <w:p w:rsidR="003E63A9" w:rsidRDefault="003E63A9" w:rsidP="006829EC">
      <w:pPr>
        <w:spacing w:line="240" w:lineRule="auto"/>
        <w:jc w:val="center"/>
        <w:rPr>
          <w:color w:val="000000"/>
          <w:sz w:val="26"/>
          <w:szCs w:val="26"/>
        </w:rPr>
      </w:pPr>
    </w:p>
    <w:p w:rsidR="003E63A9" w:rsidRDefault="003E63A9" w:rsidP="006829EC">
      <w:pPr>
        <w:spacing w:line="240" w:lineRule="auto"/>
        <w:jc w:val="center"/>
        <w:rPr>
          <w:color w:val="000000"/>
          <w:sz w:val="26"/>
          <w:szCs w:val="26"/>
        </w:rPr>
      </w:pPr>
      <w:r>
        <w:rPr>
          <w:color w:val="000000"/>
          <w:sz w:val="26"/>
          <w:szCs w:val="26"/>
        </w:rPr>
        <w:t>Decreta:</w:t>
      </w:r>
    </w:p>
    <w:p w:rsidR="003E63A9" w:rsidRDefault="003E63A9" w:rsidP="006829EC">
      <w:pP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Artículo 1°.</w:t>
      </w:r>
      <w:r>
        <w:rPr>
          <w:color w:val="000000"/>
          <w:sz w:val="26"/>
          <w:szCs w:val="26"/>
        </w:rPr>
        <w:t xml:space="preserve"> La presente ley tiene por objeto dictar los lineamientos para el proceso de adquisición de bienes inmuebles por prescripción adquisitiva por parte de las entidades territoriales.</w:t>
      </w:r>
    </w:p>
    <w:p w:rsidR="003E63A9" w:rsidRDefault="003E63A9" w:rsidP="006829EC">
      <w:pPr>
        <w:pBdr>
          <w:top w:val="nil"/>
          <w:left w:val="nil"/>
          <w:bottom w:val="nil"/>
          <w:right w:val="nil"/>
          <w:between w:val="nil"/>
        </w:pBdr>
        <w:spacing w:line="240" w:lineRule="auto"/>
        <w:jc w:val="both"/>
        <w:rPr>
          <w:color w:val="000000"/>
          <w:sz w:val="26"/>
          <w:szCs w:val="26"/>
        </w:rPr>
      </w:pPr>
      <w:r>
        <w:rPr>
          <w:color w:val="000000"/>
          <w:sz w:val="26"/>
          <w:szCs w:val="26"/>
        </w:rPr>
        <w:t xml:space="preserve"> </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Artículo 2°.</w:t>
      </w:r>
      <w:r>
        <w:rPr>
          <w:color w:val="000000"/>
          <w:sz w:val="26"/>
          <w:szCs w:val="26"/>
        </w:rPr>
        <w:t xml:space="preserve"> Las entidades territoriales deberán realizar un inventario dentro de los seis (6) meses siguientes a la promulgación de la presente ley, de los bienes inmuebles ocupados por parte de entidades que prestan servicios o funciones públicas que puedan ser objeto de adquisición por prescripción adquisitiva y que no cuentan con el título de propiedad por parte de la entidad territorial.</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Parágrafo.</w:t>
      </w:r>
      <w:r>
        <w:rPr>
          <w:color w:val="000000"/>
          <w:sz w:val="26"/>
          <w:szCs w:val="26"/>
        </w:rPr>
        <w:t xml:space="preserve"> El incumplimiento de lo establecido en el presente artículo, será causal de mala conducta imputable al Representante Legal de la Entidad Territorial.</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Artículo 3°.</w:t>
      </w:r>
      <w:r>
        <w:rPr>
          <w:color w:val="000000"/>
          <w:sz w:val="26"/>
          <w:szCs w:val="26"/>
        </w:rPr>
        <w:t xml:space="preserve"> Las entidades territoriales podrán adquirir por prescripción adquisitiva los bienes inmuebles que han servido de uso para el equipamiento público, iniciando la inscripción de declaración de posesión regular ante el notario del círculo donde esté ubicado el inmueble conforme a lo establecido en la ley 1183 de 2008. </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color w:val="000000"/>
          <w:sz w:val="26"/>
          <w:szCs w:val="26"/>
        </w:rPr>
        <w:t>Una vez solicitada la declaración de posesión regular, las entidades territoriales podrán estructurar sus proyectos de solicitud de recursos de inversión ante las entidades del nivel ejecutivo.</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Parágrafo.</w:t>
      </w:r>
      <w:r>
        <w:rPr>
          <w:color w:val="000000"/>
          <w:sz w:val="26"/>
          <w:szCs w:val="26"/>
        </w:rPr>
        <w:t xml:space="preserve"> Los diferentes Ministerios, Agencias, Departamentos Administrativos, y demás entidades de Orden Nacional en donde se presenten proyectos de solicitud de recursos de inversión para las entidades territoriales con destino a estos predios, no podrán, negar el trámite respectivo del proyecto con base en que no se cuenta con la titularidad del bien.</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Artículo 4°.</w:t>
      </w:r>
      <w:r>
        <w:rPr>
          <w:color w:val="000000"/>
          <w:sz w:val="26"/>
          <w:szCs w:val="26"/>
        </w:rPr>
        <w:t xml:space="preserve"> Adiciónese un parágrafo al artículo 1° de la Ley 1183 de 2008 el cual dirá así:</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ind w:left="426" w:hanging="284"/>
        <w:jc w:val="both"/>
        <w:rPr>
          <w:i/>
          <w:color w:val="000000"/>
          <w:sz w:val="26"/>
          <w:szCs w:val="26"/>
        </w:rPr>
      </w:pPr>
      <w:r>
        <w:rPr>
          <w:color w:val="000000"/>
          <w:sz w:val="26"/>
          <w:szCs w:val="26"/>
        </w:rPr>
        <w:tab/>
      </w:r>
      <w:r>
        <w:rPr>
          <w:b/>
          <w:i/>
          <w:color w:val="000000"/>
          <w:sz w:val="26"/>
          <w:szCs w:val="26"/>
        </w:rPr>
        <w:t>Parágrafo:</w:t>
      </w:r>
      <w:r>
        <w:rPr>
          <w:i/>
          <w:color w:val="000000"/>
          <w:sz w:val="26"/>
          <w:szCs w:val="26"/>
        </w:rPr>
        <w:t xml:space="preserve"> Cuando sea una entidad territorial quien </w:t>
      </w:r>
      <w:r>
        <w:rPr>
          <w:i/>
          <w:sz w:val="26"/>
          <w:szCs w:val="26"/>
        </w:rPr>
        <w:t>esté</w:t>
      </w:r>
      <w:r>
        <w:rPr>
          <w:i/>
          <w:color w:val="000000"/>
          <w:sz w:val="26"/>
          <w:szCs w:val="26"/>
        </w:rPr>
        <w:t xml:space="preserve"> solicitando la declaratoria de posesión regular ante notario; no importará la ubicación del inmueble ni el estrato.</w:t>
      </w:r>
    </w:p>
    <w:p w:rsidR="003E63A9" w:rsidRDefault="003E63A9" w:rsidP="006829EC">
      <w:pPr>
        <w:pBdr>
          <w:top w:val="nil"/>
          <w:left w:val="nil"/>
          <w:bottom w:val="nil"/>
          <w:right w:val="nil"/>
          <w:between w:val="nil"/>
        </w:pBdr>
        <w:spacing w:line="240" w:lineRule="auto"/>
        <w:jc w:val="both"/>
        <w:rPr>
          <w:b/>
          <w:color w:val="000000"/>
          <w:sz w:val="26"/>
          <w:szCs w:val="26"/>
        </w:rPr>
      </w:pPr>
    </w:p>
    <w:p w:rsidR="003E63A9" w:rsidRDefault="003E63A9" w:rsidP="006829EC">
      <w:pPr>
        <w:pBdr>
          <w:top w:val="nil"/>
          <w:left w:val="nil"/>
          <w:bottom w:val="nil"/>
          <w:right w:val="nil"/>
          <w:between w:val="nil"/>
        </w:pBdr>
        <w:spacing w:line="240" w:lineRule="auto"/>
        <w:jc w:val="both"/>
        <w:rPr>
          <w:b/>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Artículo 5°.</w:t>
      </w:r>
      <w:r>
        <w:rPr>
          <w:color w:val="000000"/>
          <w:sz w:val="26"/>
          <w:szCs w:val="26"/>
        </w:rPr>
        <w:t xml:space="preserve"> Las entidades territoriales dentro de los tres (3) meses siguientes a la declaración de posesión regular, deberán iniciar la acción de pertenencia so pena de las sanciones disciplinarias a que hubiera lugar.</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Artículo 6°.</w:t>
      </w:r>
      <w:r>
        <w:rPr>
          <w:color w:val="000000"/>
          <w:sz w:val="26"/>
          <w:szCs w:val="26"/>
        </w:rPr>
        <w:t xml:space="preserve"> En aquellos inmuebles que la entidad territorial no tenga el derecho por prescripción adquisitiva, podrá iniciar el proceso establecido en la ley </w:t>
      </w:r>
      <w:r w:rsidR="00B90CB0">
        <w:rPr>
          <w:color w:val="000000"/>
          <w:sz w:val="26"/>
          <w:szCs w:val="26"/>
        </w:rPr>
        <w:t>388</w:t>
      </w:r>
      <w:r>
        <w:rPr>
          <w:color w:val="000000"/>
          <w:sz w:val="26"/>
          <w:szCs w:val="26"/>
        </w:rPr>
        <w:t xml:space="preserve"> de </w:t>
      </w:r>
      <w:r w:rsidR="00B90CB0">
        <w:rPr>
          <w:color w:val="000000"/>
          <w:sz w:val="26"/>
          <w:szCs w:val="26"/>
        </w:rPr>
        <w:t>1997</w:t>
      </w:r>
      <w:r>
        <w:rPr>
          <w:color w:val="000000"/>
          <w:sz w:val="26"/>
          <w:szCs w:val="26"/>
        </w:rPr>
        <w:t>, o norma que la sustituya o modifique.</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Parágrafo.</w:t>
      </w:r>
      <w:r>
        <w:rPr>
          <w:color w:val="000000"/>
          <w:sz w:val="26"/>
          <w:szCs w:val="26"/>
        </w:rPr>
        <w:t xml:space="preserve"> Para la adquisición de predios nuevos en aras de ampliación o construcción de instalaciones para el equipamiento público, se utilizará el proceso establecido en la ley </w:t>
      </w:r>
      <w:r w:rsidR="00B90CB0">
        <w:rPr>
          <w:color w:val="000000"/>
          <w:sz w:val="26"/>
          <w:szCs w:val="26"/>
        </w:rPr>
        <w:t>388</w:t>
      </w:r>
      <w:r>
        <w:rPr>
          <w:color w:val="000000"/>
          <w:sz w:val="26"/>
          <w:szCs w:val="26"/>
        </w:rPr>
        <w:t xml:space="preserve"> de </w:t>
      </w:r>
      <w:r w:rsidR="00B90CB0">
        <w:rPr>
          <w:color w:val="000000"/>
          <w:sz w:val="26"/>
          <w:szCs w:val="26"/>
        </w:rPr>
        <w:t>1997</w:t>
      </w:r>
      <w:r>
        <w:rPr>
          <w:color w:val="000000"/>
          <w:sz w:val="26"/>
          <w:szCs w:val="26"/>
        </w:rPr>
        <w:t>, o en las normas que la sustituyan, modifiquen o adicionen.</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 xml:space="preserve">Artículo 7°. </w:t>
      </w:r>
      <w:r>
        <w:rPr>
          <w:color w:val="000000"/>
          <w:sz w:val="26"/>
          <w:szCs w:val="26"/>
        </w:rPr>
        <w:t>Adiciónese un parágrafo nuevo al artículo 375 del Código General del Proceso el cual quedará así:</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i/>
          <w:color w:val="000000"/>
          <w:sz w:val="26"/>
          <w:szCs w:val="26"/>
        </w:rPr>
      </w:pPr>
      <w:r>
        <w:rPr>
          <w:color w:val="000000"/>
          <w:sz w:val="26"/>
          <w:szCs w:val="26"/>
        </w:rPr>
        <w:tab/>
      </w:r>
      <w:r>
        <w:rPr>
          <w:i/>
          <w:color w:val="000000"/>
          <w:sz w:val="26"/>
          <w:szCs w:val="26"/>
        </w:rPr>
        <w:t>Artículo 375. Declaración de pertenencia. (…)</w:t>
      </w:r>
    </w:p>
    <w:p w:rsidR="003E63A9" w:rsidRDefault="003E63A9" w:rsidP="006829EC">
      <w:pPr>
        <w:pBdr>
          <w:top w:val="nil"/>
          <w:left w:val="nil"/>
          <w:bottom w:val="nil"/>
          <w:right w:val="nil"/>
          <w:between w:val="nil"/>
        </w:pBdr>
        <w:spacing w:line="240" w:lineRule="auto"/>
        <w:jc w:val="both"/>
        <w:rPr>
          <w:i/>
          <w:color w:val="000000"/>
          <w:sz w:val="26"/>
          <w:szCs w:val="26"/>
        </w:rPr>
      </w:pPr>
    </w:p>
    <w:p w:rsidR="003E63A9" w:rsidRDefault="003E63A9" w:rsidP="006829EC">
      <w:pPr>
        <w:pBdr>
          <w:top w:val="nil"/>
          <w:left w:val="nil"/>
          <w:bottom w:val="nil"/>
          <w:right w:val="nil"/>
          <w:between w:val="nil"/>
        </w:pBdr>
        <w:spacing w:line="240" w:lineRule="auto"/>
        <w:ind w:left="709" w:hanging="709"/>
        <w:jc w:val="both"/>
        <w:rPr>
          <w:i/>
          <w:color w:val="000000"/>
          <w:sz w:val="26"/>
          <w:szCs w:val="26"/>
        </w:rPr>
      </w:pPr>
      <w:r>
        <w:rPr>
          <w:i/>
          <w:color w:val="000000"/>
          <w:sz w:val="26"/>
          <w:szCs w:val="26"/>
        </w:rPr>
        <w:tab/>
        <w:t xml:space="preserve">Parágrafo 3°. Los términos establecidos en este artículo se reducirán a la tercera parte cuando el accionante sea una entidad territorial. </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pBdr>
          <w:top w:val="nil"/>
          <w:left w:val="nil"/>
          <w:bottom w:val="nil"/>
          <w:right w:val="nil"/>
          <w:between w:val="nil"/>
        </w:pBdr>
        <w:spacing w:line="240" w:lineRule="auto"/>
        <w:jc w:val="both"/>
        <w:rPr>
          <w:color w:val="000000"/>
          <w:sz w:val="26"/>
          <w:szCs w:val="26"/>
        </w:rPr>
      </w:pPr>
      <w:r>
        <w:rPr>
          <w:b/>
          <w:color w:val="000000"/>
          <w:sz w:val="26"/>
          <w:szCs w:val="26"/>
        </w:rPr>
        <w:t>Artículo 8°. Derechos de notariado y registro</w:t>
      </w:r>
      <w:r>
        <w:rPr>
          <w:b/>
          <w:i/>
          <w:color w:val="000000"/>
          <w:sz w:val="26"/>
          <w:szCs w:val="26"/>
        </w:rPr>
        <w:t>.</w:t>
      </w:r>
      <w:r>
        <w:rPr>
          <w:i/>
          <w:color w:val="000000"/>
          <w:sz w:val="26"/>
          <w:szCs w:val="26"/>
        </w:rPr>
        <w:t xml:space="preserve"> </w:t>
      </w:r>
      <w:r>
        <w:rPr>
          <w:color w:val="000000"/>
          <w:sz w:val="26"/>
          <w:szCs w:val="26"/>
        </w:rPr>
        <w:t>En los eventos de prescripción adquisitiva de bienes inmuebles a favor de entidades territoriales no habrá lugar al pago del impuesto de registro y anotación, de los derechos de registro, de los derechos notariales cuando a ello haya lugar.</w:t>
      </w:r>
    </w:p>
    <w:p w:rsidR="003E63A9" w:rsidRDefault="003E63A9" w:rsidP="006829EC">
      <w:pPr>
        <w:pBdr>
          <w:top w:val="nil"/>
          <w:left w:val="nil"/>
          <w:bottom w:val="nil"/>
          <w:right w:val="nil"/>
          <w:between w:val="nil"/>
        </w:pBdr>
        <w:spacing w:line="240" w:lineRule="auto"/>
        <w:jc w:val="both"/>
        <w:rPr>
          <w:color w:val="000000"/>
          <w:sz w:val="26"/>
          <w:szCs w:val="26"/>
        </w:rPr>
      </w:pPr>
    </w:p>
    <w:p w:rsidR="003E63A9" w:rsidRDefault="003E63A9" w:rsidP="006829EC">
      <w:pPr>
        <w:spacing w:line="240" w:lineRule="auto"/>
        <w:jc w:val="both"/>
        <w:rPr>
          <w:sz w:val="26"/>
          <w:szCs w:val="26"/>
        </w:rPr>
      </w:pPr>
      <w:r>
        <w:rPr>
          <w:b/>
          <w:sz w:val="26"/>
          <w:szCs w:val="26"/>
        </w:rPr>
        <w:t>Artículo 9°. Excepciones.</w:t>
      </w:r>
      <w:r>
        <w:rPr>
          <w:sz w:val="26"/>
          <w:szCs w:val="26"/>
        </w:rPr>
        <w:t xml:space="preserve"> La presente ley no aplica a los bienes inmuebles ubicados en resguardos indígenas o de propiedad colectiva de las comunidades negras, raizal u otros grupos étnicos. Para el otorgamiento del título de propiedad, deberá tramitarse el proceso verbal especial consagrado en la presente ley. </w:t>
      </w:r>
    </w:p>
    <w:p w:rsidR="003E63A9" w:rsidRDefault="003E63A9" w:rsidP="003E63A9">
      <w:pPr>
        <w:pBdr>
          <w:top w:val="nil"/>
          <w:left w:val="nil"/>
          <w:bottom w:val="nil"/>
          <w:right w:val="nil"/>
          <w:between w:val="nil"/>
        </w:pBdr>
        <w:rPr>
          <w:b/>
          <w:color w:val="000000"/>
          <w:sz w:val="26"/>
          <w:szCs w:val="26"/>
        </w:rPr>
      </w:pPr>
    </w:p>
    <w:p w:rsidR="006829EC" w:rsidRPr="006829EC" w:rsidRDefault="006829EC" w:rsidP="006829EC">
      <w:pPr>
        <w:spacing w:line="240" w:lineRule="auto"/>
        <w:contextualSpacing w:val="0"/>
        <w:jc w:val="both"/>
        <w:rPr>
          <w:rFonts w:eastAsia="Calibri"/>
          <w:color w:val="000000" w:themeColor="text1"/>
          <w:sz w:val="26"/>
          <w:szCs w:val="26"/>
        </w:rPr>
      </w:pPr>
      <w:r w:rsidRPr="004A05D5">
        <w:rPr>
          <w:rFonts w:eastAsia="Calibri"/>
          <w:b/>
          <w:color w:val="000000" w:themeColor="text1"/>
          <w:sz w:val="26"/>
          <w:szCs w:val="26"/>
        </w:rPr>
        <w:t>Artículo 10.</w:t>
      </w:r>
      <w:r w:rsidRPr="006829EC">
        <w:rPr>
          <w:rFonts w:eastAsia="Calibri"/>
          <w:color w:val="000000" w:themeColor="text1"/>
          <w:sz w:val="26"/>
          <w:szCs w:val="26"/>
        </w:rPr>
        <w:t xml:space="preserve"> Modifíquese el literal a) del artículo 58 de la Ley 388 de 1997, el cual quedará así:</w:t>
      </w:r>
    </w:p>
    <w:p w:rsidR="006829EC" w:rsidRPr="006829EC" w:rsidRDefault="006829EC" w:rsidP="006829EC">
      <w:pPr>
        <w:spacing w:line="240" w:lineRule="auto"/>
        <w:contextualSpacing w:val="0"/>
        <w:jc w:val="both"/>
        <w:rPr>
          <w:rFonts w:eastAsia="Calibri"/>
          <w:color w:val="000000" w:themeColor="text1"/>
          <w:sz w:val="26"/>
          <w:szCs w:val="26"/>
        </w:rPr>
      </w:pPr>
    </w:p>
    <w:p w:rsidR="006829EC" w:rsidRPr="006829EC" w:rsidRDefault="006829EC" w:rsidP="006829EC">
      <w:pPr>
        <w:spacing w:line="240" w:lineRule="auto"/>
        <w:contextualSpacing w:val="0"/>
        <w:jc w:val="both"/>
        <w:rPr>
          <w:sz w:val="26"/>
          <w:szCs w:val="26"/>
        </w:rPr>
      </w:pPr>
      <w:r w:rsidRPr="006829EC">
        <w:rPr>
          <w:sz w:val="26"/>
          <w:szCs w:val="26"/>
        </w:rPr>
        <w:t>a) Ejecución de proyectos de construcción,</w:t>
      </w:r>
      <w:r w:rsidRPr="006829EC">
        <w:rPr>
          <w:sz w:val="26"/>
          <w:szCs w:val="26"/>
          <w:u w:val="single"/>
        </w:rPr>
        <w:t xml:space="preserve"> adecuación o mejoramiento</w:t>
      </w:r>
      <w:r w:rsidRPr="006829EC">
        <w:rPr>
          <w:sz w:val="26"/>
          <w:szCs w:val="26"/>
        </w:rPr>
        <w:t xml:space="preserve"> de infraestructura social en los sectores de la salud, educación, </w:t>
      </w:r>
      <w:r w:rsidR="002C59B2">
        <w:rPr>
          <w:sz w:val="26"/>
          <w:szCs w:val="26"/>
          <w:u w:val="single"/>
        </w:rPr>
        <w:t>deporte,</w:t>
      </w:r>
      <w:r w:rsidR="002C59B2">
        <w:rPr>
          <w:sz w:val="26"/>
          <w:szCs w:val="26"/>
          <w:u w:val="single"/>
        </w:rPr>
        <w:t xml:space="preserve"> </w:t>
      </w:r>
      <w:r w:rsidRPr="006829EC">
        <w:rPr>
          <w:sz w:val="26"/>
          <w:szCs w:val="26"/>
        </w:rPr>
        <w:t>recreación,</w:t>
      </w:r>
      <w:r w:rsidR="002C59B2">
        <w:rPr>
          <w:sz w:val="26"/>
          <w:szCs w:val="26"/>
        </w:rPr>
        <w:t xml:space="preserve"> </w:t>
      </w:r>
      <w:r w:rsidRPr="006829EC">
        <w:rPr>
          <w:sz w:val="26"/>
          <w:szCs w:val="26"/>
        </w:rPr>
        <w:t>centrales de abasto y seguridad ciudadana;</w:t>
      </w:r>
    </w:p>
    <w:p w:rsidR="006829EC" w:rsidRDefault="006829EC" w:rsidP="006829EC">
      <w:pPr>
        <w:pBdr>
          <w:top w:val="nil"/>
          <w:left w:val="nil"/>
          <w:bottom w:val="nil"/>
          <w:right w:val="nil"/>
          <w:between w:val="nil"/>
        </w:pBdr>
        <w:spacing w:line="240" w:lineRule="auto"/>
        <w:rPr>
          <w:b/>
          <w:color w:val="000000"/>
          <w:sz w:val="26"/>
          <w:szCs w:val="26"/>
        </w:rPr>
      </w:pPr>
    </w:p>
    <w:p w:rsidR="003E63A9" w:rsidRDefault="006829EC" w:rsidP="006829EC">
      <w:pPr>
        <w:pBdr>
          <w:top w:val="nil"/>
          <w:left w:val="nil"/>
          <w:bottom w:val="nil"/>
          <w:right w:val="nil"/>
          <w:between w:val="nil"/>
        </w:pBdr>
        <w:spacing w:line="240" w:lineRule="auto"/>
        <w:jc w:val="both"/>
        <w:rPr>
          <w:color w:val="000000"/>
          <w:sz w:val="26"/>
          <w:szCs w:val="26"/>
        </w:rPr>
      </w:pPr>
      <w:r>
        <w:rPr>
          <w:b/>
          <w:color w:val="000000"/>
          <w:sz w:val="26"/>
          <w:szCs w:val="26"/>
        </w:rPr>
        <w:t>Artículo 11</w:t>
      </w:r>
      <w:r w:rsidR="003E63A9">
        <w:rPr>
          <w:b/>
          <w:color w:val="000000"/>
          <w:sz w:val="26"/>
          <w:szCs w:val="26"/>
        </w:rPr>
        <w:t xml:space="preserve">°. </w:t>
      </w:r>
      <w:r w:rsidR="003E63A9">
        <w:rPr>
          <w:b/>
          <w:i/>
          <w:color w:val="000000"/>
          <w:sz w:val="26"/>
          <w:szCs w:val="26"/>
        </w:rPr>
        <w:t>Vigencia</w:t>
      </w:r>
      <w:r w:rsidR="003E63A9">
        <w:rPr>
          <w:b/>
          <w:color w:val="000000"/>
          <w:sz w:val="26"/>
          <w:szCs w:val="26"/>
        </w:rPr>
        <w:t>.</w:t>
      </w:r>
      <w:r w:rsidR="003E63A9">
        <w:rPr>
          <w:color w:val="000000"/>
          <w:sz w:val="26"/>
          <w:szCs w:val="26"/>
        </w:rPr>
        <w:t xml:space="preserve"> Esta ley empezará a regir a partir de su promulgación y deroga todas las disposiciones que le sean contrarias. </w:t>
      </w:r>
    </w:p>
    <w:p w:rsidR="003E63A9" w:rsidRPr="003663B9" w:rsidRDefault="003E63A9" w:rsidP="00295F9D">
      <w:pPr>
        <w:spacing w:line="240" w:lineRule="auto"/>
        <w:contextualSpacing w:val="0"/>
        <w:jc w:val="center"/>
        <w:rPr>
          <w:rFonts w:eastAsia="Calibri"/>
          <w:b/>
          <w:color w:val="000000" w:themeColor="text1"/>
          <w:sz w:val="26"/>
          <w:szCs w:val="26"/>
        </w:rPr>
      </w:pPr>
    </w:p>
    <w:p w:rsidR="00295F9D" w:rsidRPr="003663B9" w:rsidRDefault="00295F9D" w:rsidP="00295F9D">
      <w:pPr>
        <w:spacing w:line="240" w:lineRule="auto"/>
        <w:contextualSpacing w:val="0"/>
        <w:jc w:val="center"/>
        <w:rPr>
          <w:rFonts w:eastAsia="Calibri"/>
          <w:b/>
          <w:color w:val="000000" w:themeColor="text1"/>
          <w:sz w:val="26"/>
          <w:szCs w:val="26"/>
        </w:rPr>
      </w:pPr>
    </w:p>
    <w:p w:rsidR="00295F9D" w:rsidRPr="003663B9" w:rsidRDefault="00FB50DD" w:rsidP="00295F9D">
      <w:pPr>
        <w:spacing w:line="240" w:lineRule="auto"/>
        <w:contextualSpacing w:val="0"/>
        <w:rPr>
          <w:rFonts w:eastAsia="Calibri"/>
          <w:b/>
          <w:color w:val="000000" w:themeColor="text1"/>
          <w:sz w:val="26"/>
          <w:szCs w:val="26"/>
        </w:rPr>
      </w:pPr>
      <w:r w:rsidRPr="003663B9">
        <w:rPr>
          <w:rFonts w:eastAsia="Calibri"/>
          <w:b/>
          <w:color w:val="000000" w:themeColor="text1"/>
          <w:sz w:val="26"/>
          <w:szCs w:val="26"/>
        </w:rPr>
        <w:t>De</w:t>
      </w:r>
      <w:r w:rsidR="00295F9D" w:rsidRPr="003663B9">
        <w:rPr>
          <w:rFonts w:eastAsia="Calibri"/>
          <w:b/>
          <w:color w:val="000000" w:themeColor="text1"/>
          <w:sz w:val="26"/>
          <w:szCs w:val="26"/>
        </w:rPr>
        <w:t>l</w:t>
      </w:r>
      <w:r w:rsidRPr="003663B9">
        <w:rPr>
          <w:rFonts w:eastAsia="Calibri"/>
          <w:b/>
          <w:color w:val="000000" w:themeColor="text1"/>
          <w:sz w:val="26"/>
          <w:szCs w:val="26"/>
        </w:rPr>
        <w:t xml:space="preserve"> Representante</w:t>
      </w:r>
      <w:r w:rsidR="00295F9D" w:rsidRPr="003663B9">
        <w:rPr>
          <w:rFonts w:eastAsia="Calibri"/>
          <w:b/>
          <w:color w:val="000000" w:themeColor="text1"/>
          <w:sz w:val="26"/>
          <w:szCs w:val="26"/>
        </w:rPr>
        <w:t>,</w:t>
      </w:r>
    </w:p>
    <w:p w:rsidR="00295F9D" w:rsidRPr="003663B9" w:rsidRDefault="00295F9D" w:rsidP="00295F9D">
      <w:pPr>
        <w:spacing w:line="240" w:lineRule="auto"/>
        <w:contextualSpacing w:val="0"/>
        <w:rPr>
          <w:rFonts w:eastAsia="Calibri"/>
          <w:b/>
          <w:color w:val="000000" w:themeColor="text1"/>
          <w:sz w:val="26"/>
          <w:szCs w:val="26"/>
        </w:rPr>
      </w:pPr>
    </w:p>
    <w:p w:rsidR="00295F9D" w:rsidRPr="003663B9" w:rsidRDefault="00295F9D" w:rsidP="00295F9D">
      <w:pPr>
        <w:spacing w:line="240" w:lineRule="auto"/>
        <w:contextualSpacing w:val="0"/>
        <w:jc w:val="center"/>
        <w:rPr>
          <w:rFonts w:eastAsia="Calibri"/>
          <w:b/>
          <w:color w:val="000000" w:themeColor="text1"/>
          <w:sz w:val="26"/>
          <w:szCs w:val="26"/>
        </w:rPr>
      </w:pPr>
    </w:p>
    <w:p w:rsidR="00295F9D" w:rsidRPr="003663B9" w:rsidRDefault="00295F9D" w:rsidP="00295F9D">
      <w:pPr>
        <w:spacing w:line="240" w:lineRule="auto"/>
        <w:contextualSpacing w:val="0"/>
        <w:jc w:val="center"/>
        <w:rPr>
          <w:rFonts w:eastAsia="Calibri"/>
          <w:b/>
          <w:color w:val="000000" w:themeColor="text1"/>
          <w:sz w:val="26"/>
          <w:szCs w:val="26"/>
        </w:rPr>
      </w:pPr>
    </w:p>
    <w:p w:rsidR="00295F9D" w:rsidRPr="003663B9" w:rsidRDefault="00295F9D" w:rsidP="00295F9D">
      <w:pPr>
        <w:spacing w:line="240" w:lineRule="auto"/>
        <w:contextualSpacing w:val="0"/>
        <w:jc w:val="center"/>
        <w:rPr>
          <w:rFonts w:eastAsia="Calibri"/>
          <w:b/>
          <w:color w:val="000000" w:themeColor="text1"/>
          <w:sz w:val="26"/>
          <w:szCs w:val="26"/>
        </w:rPr>
      </w:pPr>
    </w:p>
    <w:p w:rsidR="00295F9D" w:rsidRPr="003663B9" w:rsidRDefault="00295F9D" w:rsidP="00927900">
      <w:pPr>
        <w:spacing w:line="240" w:lineRule="auto"/>
        <w:contextualSpacing w:val="0"/>
        <w:jc w:val="center"/>
        <w:rPr>
          <w:rFonts w:eastAsia="Calibri"/>
          <w:b/>
          <w:color w:val="000000" w:themeColor="text1"/>
          <w:sz w:val="26"/>
          <w:szCs w:val="26"/>
        </w:rPr>
      </w:pPr>
      <w:r w:rsidRPr="003663B9">
        <w:rPr>
          <w:rFonts w:eastAsia="Calibri"/>
          <w:b/>
          <w:color w:val="000000" w:themeColor="text1"/>
          <w:sz w:val="26"/>
          <w:szCs w:val="26"/>
        </w:rPr>
        <w:t>JORGE ELIÉCER TAMAYO</w:t>
      </w:r>
      <w:r w:rsidR="00927900" w:rsidRPr="003663B9">
        <w:rPr>
          <w:rFonts w:eastAsia="Calibri"/>
          <w:b/>
          <w:color w:val="000000" w:themeColor="text1"/>
          <w:sz w:val="26"/>
          <w:szCs w:val="26"/>
        </w:rPr>
        <w:t xml:space="preserve"> MARULANDA</w:t>
      </w:r>
    </w:p>
    <w:p w:rsidR="00295F9D" w:rsidRPr="003663B9" w:rsidRDefault="00295F9D" w:rsidP="00927900">
      <w:pPr>
        <w:spacing w:line="240" w:lineRule="auto"/>
        <w:contextualSpacing w:val="0"/>
        <w:jc w:val="center"/>
        <w:rPr>
          <w:rFonts w:eastAsia="Calibri"/>
          <w:b/>
          <w:color w:val="000000" w:themeColor="text1"/>
          <w:sz w:val="26"/>
          <w:szCs w:val="26"/>
        </w:rPr>
      </w:pPr>
      <w:r w:rsidRPr="003663B9">
        <w:rPr>
          <w:rFonts w:eastAsia="Calibri"/>
          <w:b/>
          <w:color w:val="000000" w:themeColor="text1"/>
          <w:sz w:val="26"/>
          <w:szCs w:val="26"/>
        </w:rPr>
        <w:t>Representante a la Cámara</w:t>
      </w:r>
    </w:p>
    <w:p w:rsidR="00295F9D" w:rsidRPr="003663B9" w:rsidRDefault="00295F9D" w:rsidP="00295F9D">
      <w:pPr>
        <w:spacing w:line="240" w:lineRule="auto"/>
        <w:contextualSpacing w:val="0"/>
        <w:rPr>
          <w:rFonts w:eastAsia="Calibri"/>
          <w:b/>
          <w:color w:val="000000" w:themeColor="text1"/>
          <w:sz w:val="26"/>
          <w:szCs w:val="26"/>
        </w:rPr>
      </w:pPr>
    </w:p>
    <w:p w:rsidR="00295F9D" w:rsidRPr="003663B9" w:rsidRDefault="00295F9D" w:rsidP="00295F9D">
      <w:pPr>
        <w:spacing w:line="240" w:lineRule="auto"/>
        <w:contextualSpacing w:val="0"/>
        <w:rPr>
          <w:rFonts w:eastAsia="Calibri"/>
          <w:b/>
          <w:color w:val="000000" w:themeColor="text1"/>
          <w:sz w:val="26"/>
          <w:szCs w:val="26"/>
        </w:rPr>
      </w:pPr>
    </w:p>
    <w:p w:rsidR="00141426" w:rsidRPr="003663B9" w:rsidRDefault="00141426" w:rsidP="00927900">
      <w:pPr>
        <w:spacing w:line="240" w:lineRule="auto"/>
        <w:contextualSpacing w:val="0"/>
        <w:rPr>
          <w:rFonts w:eastAsia="Calibri"/>
          <w:b/>
          <w:color w:val="000000" w:themeColor="text1"/>
          <w:sz w:val="26"/>
          <w:szCs w:val="26"/>
        </w:rPr>
      </w:pPr>
    </w:p>
    <w:sectPr w:rsidR="00141426" w:rsidRPr="003663B9" w:rsidSect="00390E20">
      <w:headerReference w:type="default" r:id="rId8"/>
      <w:footerReference w:type="default" r:id="rId9"/>
      <w:pgSz w:w="12242" w:h="15842" w:code="1"/>
      <w:pgMar w:top="1701" w:right="1418" w:bottom="1418" w:left="1418"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715" w:rsidRDefault="00F11715">
      <w:pPr>
        <w:spacing w:line="240" w:lineRule="auto"/>
      </w:pPr>
      <w:r>
        <w:separator/>
      </w:r>
    </w:p>
  </w:endnote>
  <w:endnote w:type="continuationSeparator" w:id="0">
    <w:p w:rsidR="00F11715" w:rsidRDefault="00F11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89007"/>
      <w:docPartObj>
        <w:docPartGallery w:val="Page Numbers (Bottom of Page)"/>
        <w:docPartUnique/>
      </w:docPartObj>
    </w:sdtPr>
    <w:sdtEndPr/>
    <w:sdtContent>
      <w:p w:rsidR="00DE234E" w:rsidRDefault="00DE234E">
        <w:pPr>
          <w:pStyle w:val="Piedepgina"/>
          <w:jc w:val="right"/>
        </w:pPr>
        <w:r>
          <w:fldChar w:fldCharType="begin"/>
        </w:r>
        <w:r>
          <w:instrText>PAGE   \* MERGEFORMAT</w:instrText>
        </w:r>
        <w:r>
          <w:fldChar w:fldCharType="separate"/>
        </w:r>
        <w:r w:rsidR="007A230B" w:rsidRPr="007A230B">
          <w:rPr>
            <w:noProof/>
            <w:lang w:val="es-ES"/>
          </w:rPr>
          <w:t>11</w:t>
        </w:r>
        <w:r>
          <w:fldChar w:fldCharType="end"/>
        </w:r>
      </w:p>
    </w:sdtContent>
  </w:sdt>
  <w:p w:rsidR="00DE234E" w:rsidRDefault="00DE23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715" w:rsidRDefault="00F11715">
      <w:pPr>
        <w:spacing w:line="240" w:lineRule="auto"/>
      </w:pPr>
      <w:r>
        <w:separator/>
      </w:r>
    </w:p>
  </w:footnote>
  <w:footnote w:type="continuationSeparator" w:id="0">
    <w:p w:rsidR="00F11715" w:rsidRDefault="00F11715">
      <w:pPr>
        <w:spacing w:line="240" w:lineRule="auto"/>
      </w:pPr>
      <w:r>
        <w:continuationSeparator/>
      </w:r>
    </w:p>
  </w:footnote>
  <w:footnote w:id="1">
    <w:p w:rsidR="0032471E" w:rsidRDefault="0032471E" w:rsidP="0032471E">
      <w:pPr>
        <w:pBdr>
          <w:top w:val="nil"/>
          <w:left w:val="nil"/>
          <w:bottom w:val="nil"/>
          <w:right w:val="nil"/>
          <w:between w:val="nil"/>
        </w:pBdr>
        <w:rPr>
          <w:color w:val="000000"/>
        </w:rPr>
      </w:pPr>
      <w:r>
        <w:rPr>
          <w:vertAlign w:val="superscript"/>
        </w:rPr>
        <w:footnoteRef/>
      </w:r>
      <w:hyperlink r:id="rId1">
        <w:r>
          <w:rPr>
            <w:rFonts w:ascii="Bookman Old Style" w:eastAsia="Bookman Old Style" w:hAnsi="Bookman Old Style" w:cs="Bookman Old Style"/>
            <w:color w:val="0000FF"/>
            <w:sz w:val="16"/>
            <w:szCs w:val="16"/>
            <w:u w:val="single"/>
          </w:rPr>
          <w:t>https://www.minsalud.gov.co/sites/rid/Paginas/results.aspx?k=((dcispartof:%22Evaluaci%C3%B3n%20de%20proyectos%22))</w:t>
        </w:r>
      </w:hyperlink>
    </w:p>
  </w:footnote>
  <w:footnote w:id="2">
    <w:p w:rsidR="00514ED6" w:rsidRDefault="00514ED6">
      <w:pPr>
        <w:pStyle w:val="Textonotapie"/>
      </w:pPr>
      <w:r w:rsidRPr="003663B9">
        <w:rPr>
          <w:rStyle w:val="Refdenotaalpie"/>
          <w:sz w:val="18"/>
        </w:rPr>
        <w:footnoteRef/>
      </w:r>
      <w:r w:rsidRPr="003663B9">
        <w:rPr>
          <w:sz w:val="18"/>
        </w:rPr>
        <w:t xml:space="preserve"> Respuesta </w:t>
      </w:r>
      <w:r w:rsidR="00BA5581" w:rsidRPr="003663B9">
        <w:rPr>
          <w:sz w:val="18"/>
        </w:rPr>
        <w:t>a solicitud de información N° 2020-EE-150421</w:t>
      </w:r>
    </w:p>
  </w:footnote>
  <w:footnote w:id="3">
    <w:p w:rsidR="003C04B4" w:rsidRPr="003C04B4" w:rsidRDefault="00C20AC4">
      <w:pPr>
        <w:pStyle w:val="Textonotapie"/>
        <w:rPr>
          <w:sz w:val="18"/>
        </w:rPr>
      </w:pPr>
      <w:r w:rsidRPr="003C04B4">
        <w:rPr>
          <w:rStyle w:val="Refdenotaalpie"/>
          <w:sz w:val="18"/>
        </w:rPr>
        <w:footnoteRef/>
      </w:r>
      <w:r w:rsidRPr="003C04B4">
        <w:rPr>
          <w:sz w:val="18"/>
        </w:rPr>
        <w:t xml:space="preserve"> https://www.educacionbogota.edu.co/portal_institucional/node/6759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8F" w:rsidRDefault="00AA3F8F">
    <w:pPr>
      <w:contextualSpacing w:val="0"/>
      <w:jc w:val="center"/>
    </w:pPr>
    <w:r>
      <w:rPr>
        <w:noProof/>
      </w:rPr>
      <w:drawing>
        <wp:inline distT="114300" distB="114300" distL="114300" distR="114300">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4B3"/>
    <w:multiLevelType w:val="hybridMultilevel"/>
    <w:tmpl w:val="69C4FA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86FE7"/>
    <w:multiLevelType w:val="hybridMultilevel"/>
    <w:tmpl w:val="9536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1E37FC"/>
    <w:multiLevelType w:val="hybridMultilevel"/>
    <w:tmpl w:val="0AA02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75E7A"/>
    <w:rsid w:val="00090274"/>
    <w:rsid w:val="000A4C58"/>
    <w:rsid w:val="000D1BE8"/>
    <w:rsid w:val="000F20C9"/>
    <w:rsid w:val="00112A49"/>
    <w:rsid w:val="0011409C"/>
    <w:rsid w:val="00141426"/>
    <w:rsid w:val="00150263"/>
    <w:rsid w:val="00160819"/>
    <w:rsid w:val="00182D9F"/>
    <w:rsid w:val="0018672B"/>
    <w:rsid w:val="00190A1D"/>
    <w:rsid w:val="001D2130"/>
    <w:rsid w:val="001F2144"/>
    <w:rsid w:val="00200469"/>
    <w:rsid w:val="002265FE"/>
    <w:rsid w:val="00227968"/>
    <w:rsid w:val="00251138"/>
    <w:rsid w:val="00262413"/>
    <w:rsid w:val="00295F9D"/>
    <w:rsid w:val="002A732B"/>
    <w:rsid w:val="002B0601"/>
    <w:rsid w:val="002C0C19"/>
    <w:rsid w:val="002C2442"/>
    <w:rsid w:val="002C59B2"/>
    <w:rsid w:val="002E0A8E"/>
    <w:rsid w:val="002F0EE1"/>
    <w:rsid w:val="0031073B"/>
    <w:rsid w:val="0032471E"/>
    <w:rsid w:val="003355CB"/>
    <w:rsid w:val="00343530"/>
    <w:rsid w:val="003457C9"/>
    <w:rsid w:val="003663B9"/>
    <w:rsid w:val="00390E20"/>
    <w:rsid w:val="00392593"/>
    <w:rsid w:val="003B13D1"/>
    <w:rsid w:val="003B5883"/>
    <w:rsid w:val="003C04B4"/>
    <w:rsid w:val="003E1DCD"/>
    <w:rsid w:val="003E63A9"/>
    <w:rsid w:val="003F2620"/>
    <w:rsid w:val="00407BD3"/>
    <w:rsid w:val="00414C9A"/>
    <w:rsid w:val="0041714F"/>
    <w:rsid w:val="0044250E"/>
    <w:rsid w:val="00456C63"/>
    <w:rsid w:val="00476ABE"/>
    <w:rsid w:val="00492E97"/>
    <w:rsid w:val="004A05D5"/>
    <w:rsid w:val="004B0CEA"/>
    <w:rsid w:val="004C04A5"/>
    <w:rsid w:val="004C0649"/>
    <w:rsid w:val="004E0884"/>
    <w:rsid w:val="00514ED6"/>
    <w:rsid w:val="00556E86"/>
    <w:rsid w:val="00584E09"/>
    <w:rsid w:val="00591DC6"/>
    <w:rsid w:val="005B1FBB"/>
    <w:rsid w:val="005E7367"/>
    <w:rsid w:val="0065352E"/>
    <w:rsid w:val="006537E0"/>
    <w:rsid w:val="006564A1"/>
    <w:rsid w:val="00663CB1"/>
    <w:rsid w:val="0067444A"/>
    <w:rsid w:val="006829EC"/>
    <w:rsid w:val="006B603E"/>
    <w:rsid w:val="006E6254"/>
    <w:rsid w:val="006F0D77"/>
    <w:rsid w:val="006F2235"/>
    <w:rsid w:val="006F409D"/>
    <w:rsid w:val="007427B7"/>
    <w:rsid w:val="007441AF"/>
    <w:rsid w:val="00750368"/>
    <w:rsid w:val="00751549"/>
    <w:rsid w:val="00756CC8"/>
    <w:rsid w:val="0076338C"/>
    <w:rsid w:val="007744B7"/>
    <w:rsid w:val="00787A95"/>
    <w:rsid w:val="0079558C"/>
    <w:rsid w:val="007A230B"/>
    <w:rsid w:val="007D0380"/>
    <w:rsid w:val="007D12D9"/>
    <w:rsid w:val="007D2CB6"/>
    <w:rsid w:val="00813A8B"/>
    <w:rsid w:val="00820900"/>
    <w:rsid w:val="008332A0"/>
    <w:rsid w:val="0085728A"/>
    <w:rsid w:val="00872D5F"/>
    <w:rsid w:val="008A672E"/>
    <w:rsid w:val="008C3401"/>
    <w:rsid w:val="008C42B7"/>
    <w:rsid w:val="009146B7"/>
    <w:rsid w:val="00927900"/>
    <w:rsid w:val="009333A9"/>
    <w:rsid w:val="00954AA3"/>
    <w:rsid w:val="0096447B"/>
    <w:rsid w:val="0096465D"/>
    <w:rsid w:val="00975DBF"/>
    <w:rsid w:val="009B6D5A"/>
    <w:rsid w:val="009C2743"/>
    <w:rsid w:val="009D6115"/>
    <w:rsid w:val="009D61DB"/>
    <w:rsid w:val="009D73D5"/>
    <w:rsid w:val="009F002B"/>
    <w:rsid w:val="00A05F92"/>
    <w:rsid w:val="00A46927"/>
    <w:rsid w:val="00A76EB3"/>
    <w:rsid w:val="00A8254A"/>
    <w:rsid w:val="00A96114"/>
    <w:rsid w:val="00AA3F8F"/>
    <w:rsid w:val="00AA617D"/>
    <w:rsid w:val="00AC03B1"/>
    <w:rsid w:val="00B10E42"/>
    <w:rsid w:val="00B2604A"/>
    <w:rsid w:val="00B4080B"/>
    <w:rsid w:val="00B50F88"/>
    <w:rsid w:val="00B62298"/>
    <w:rsid w:val="00B90CB0"/>
    <w:rsid w:val="00BA5581"/>
    <w:rsid w:val="00BA6CBA"/>
    <w:rsid w:val="00BB7156"/>
    <w:rsid w:val="00BC194B"/>
    <w:rsid w:val="00BC5C79"/>
    <w:rsid w:val="00BD4D91"/>
    <w:rsid w:val="00C050DD"/>
    <w:rsid w:val="00C13168"/>
    <w:rsid w:val="00C20AC4"/>
    <w:rsid w:val="00C26739"/>
    <w:rsid w:val="00C83DA8"/>
    <w:rsid w:val="00CA5537"/>
    <w:rsid w:val="00CE0926"/>
    <w:rsid w:val="00CF3BDA"/>
    <w:rsid w:val="00D027BD"/>
    <w:rsid w:val="00D0726F"/>
    <w:rsid w:val="00D276A9"/>
    <w:rsid w:val="00D55052"/>
    <w:rsid w:val="00D66300"/>
    <w:rsid w:val="00DC3CFA"/>
    <w:rsid w:val="00DE1376"/>
    <w:rsid w:val="00DE234E"/>
    <w:rsid w:val="00E05E5A"/>
    <w:rsid w:val="00E11F55"/>
    <w:rsid w:val="00E4498A"/>
    <w:rsid w:val="00E45268"/>
    <w:rsid w:val="00E528D2"/>
    <w:rsid w:val="00E8135B"/>
    <w:rsid w:val="00EA6747"/>
    <w:rsid w:val="00EB722B"/>
    <w:rsid w:val="00EE5536"/>
    <w:rsid w:val="00EE5D72"/>
    <w:rsid w:val="00EF4925"/>
    <w:rsid w:val="00F11715"/>
    <w:rsid w:val="00F11E8F"/>
    <w:rsid w:val="00F33B93"/>
    <w:rsid w:val="00F51E69"/>
    <w:rsid w:val="00FA0DE7"/>
    <w:rsid w:val="00FA2E5D"/>
    <w:rsid w:val="00FB3466"/>
    <w:rsid w:val="00FB50DD"/>
    <w:rsid w:val="00FC6262"/>
    <w:rsid w:val="00FD58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C550"/>
  <w15:docId w15:val="{C8D6CBD2-00F4-4E66-97A6-223AD33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character" w:styleId="Hipervnculo">
    <w:name w:val="Hyperlink"/>
    <w:basedOn w:val="Fuentedeprrafopredeter"/>
    <w:uiPriority w:val="99"/>
    <w:unhideWhenUsed/>
    <w:rsid w:val="00182D9F"/>
    <w:rPr>
      <w:strike w:val="0"/>
      <w:dstrike w:val="0"/>
      <w:color w:val="111111"/>
      <w:u w:val="none"/>
      <w:effect w:val="none"/>
      <w:shd w:val="clear" w:color="auto" w:fill="auto"/>
    </w:rPr>
  </w:style>
  <w:style w:type="paragraph" w:styleId="Sinespaciado">
    <w:name w:val="No Spacing"/>
    <w:uiPriority w:val="1"/>
    <w:qFormat/>
    <w:rsid w:val="00182D9F"/>
    <w:pPr>
      <w:spacing w:line="240" w:lineRule="auto"/>
      <w:contextualSpacing w:val="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DE234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234E"/>
  </w:style>
  <w:style w:type="paragraph" w:styleId="Piedepgina">
    <w:name w:val="footer"/>
    <w:basedOn w:val="Normal"/>
    <w:link w:val="PiedepginaCar"/>
    <w:uiPriority w:val="99"/>
    <w:unhideWhenUsed/>
    <w:rsid w:val="00DE234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234E"/>
  </w:style>
  <w:style w:type="table" w:styleId="Tablaconcuadrcula">
    <w:name w:val="Table Grid"/>
    <w:basedOn w:val="Tablanormal"/>
    <w:uiPriority w:val="39"/>
    <w:rsid w:val="007515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F9D"/>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user-highlighted-active">
    <w:name w:val="user-highlighted-active"/>
    <w:basedOn w:val="Fuentedeprrafopredeter"/>
    <w:rsid w:val="00295F9D"/>
  </w:style>
  <w:style w:type="character" w:styleId="Textoennegrita">
    <w:name w:val="Strong"/>
    <w:basedOn w:val="Fuentedeprrafopredeter"/>
    <w:uiPriority w:val="22"/>
    <w:qFormat/>
    <w:rsid w:val="00295F9D"/>
    <w:rPr>
      <w:b/>
      <w:bCs/>
    </w:rPr>
  </w:style>
  <w:style w:type="character" w:styleId="nfasis">
    <w:name w:val="Emphasis"/>
    <w:basedOn w:val="Fuentedeprrafopredeter"/>
    <w:uiPriority w:val="20"/>
    <w:qFormat/>
    <w:rsid w:val="00295F9D"/>
    <w:rPr>
      <w:i/>
      <w:iCs/>
    </w:rPr>
  </w:style>
  <w:style w:type="paragraph" w:styleId="Prrafodelista">
    <w:name w:val="List Paragraph"/>
    <w:basedOn w:val="Normal"/>
    <w:uiPriority w:val="34"/>
    <w:qFormat/>
    <w:rsid w:val="00295F9D"/>
    <w:pPr>
      <w:ind w:left="720"/>
    </w:pPr>
  </w:style>
  <w:style w:type="paragraph" w:styleId="Textonotaalfinal">
    <w:name w:val="endnote text"/>
    <w:basedOn w:val="Normal"/>
    <w:link w:val="TextonotaalfinalCar"/>
    <w:uiPriority w:val="99"/>
    <w:semiHidden/>
    <w:unhideWhenUsed/>
    <w:rsid w:val="00514ED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14ED6"/>
    <w:rPr>
      <w:sz w:val="20"/>
      <w:szCs w:val="20"/>
    </w:rPr>
  </w:style>
  <w:style w:type="character" w:styleId="Refdenotaalfinal">
    <w:name w:val="endnote reference"/>
    <w:basedOn w:val="Fuentedeprrafopredeter"/>
    <w:uiPriority w:val="99"/>
    <w:semiHidden/>
    <w:unhideWhenUsed/>
    <w:rsid w:val="00514ED6"/>
    <w:rPr>
      <w:vertAlign w:val="superscript"/>
    </w:rPr>
  </w:style>
  <w:style w:type="paragraph" w:styleId="Textonotapie">
    <w:name w:val="footnote text"/>
    <w:basedOn w:val="Normal"/>
    <w:link w:val="TextonotapieCar"/>
    <w:uiPriority w:val="99"/>
    <w:semiHidden/>
    <w:unhideWhenUsed/>
    <w:rsid w:val="00514ED6"/>
    <w:pPr>
      <w:spacing w:line="240" w:lineRule="auto"/>
    </w:pPr>
    <w:rPr>
      <w:sz w:val="20"/>
      <w:szCs w:val="20"/>
    </w:rPr>
  </w:style>
  <w:style w:type="character" w:customStyle="1" w:styleId="TextonotapieCar">
    <w:name w:val="Texto nota pie Car"/>
    <w:basedOn w:val="Fuentedeprrafopredeter"/>
    <w:link w:val="Textonotapie"/>
    <w:uiPriority w:val="99"/>
    <w:semiHidden/>
    <w:rsid w:val="00514ED6"/>
    <w:rPr>
      <w:sz w:val="20"/>
      <w:szCs w:val="20"/>
    </w:rPr>
  </w:style>
  <w:style w:type="character" w:styleId="Refdenotaalpie">
    <w:name w:val="footnote reference"/>
    <w:basedOn w:val="Fuentedeprrafopredeter"/>
    <w:uiPriority w:val="99"/>
    <w:semiHidden/>
    <w:unhideWhenUsed/>
    <w:rsid w:val="00514ED6"/>
    <w:rPr>
      <w:vertAlign w:val="superscript"/>
    </w:rPr>
  </w:style>
  <w:style w:type="paragraph" w:customStyle="1" w:styleId="TableParagraph">
    <w:name w:val="Table Paragraph"/>
    <w:basedOn w:val="Normal"/>
    <w:uiPriority w:val="1"/>
    <w:qFormat/>
    <w:rsid w:val="000F20C9"/>
    <w:pPr>
      <w:widowControl w:val="0"/>
      <w:autoSpaceDE w:val="0"/>
      <w:autoSpaceDN w:val="0"/>
      <w:spacing w:before="2" w:line="228" w:lineRule="exact"/>
      <w:ind w:left="149" w:right="59"/>
      <w:contextualSpacing w:val="0"/>
      <w:jc w:val="center"/>
    </w:pPr>
    <w:rPr>
      <w:rFonts w:ascii="Times New Roman" w:eastAsia="Times New Roman" w:hAnsi="Times New Roman"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56848256">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1450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Paginas/results.aspx?k=((dcispartof:%22Evaluaci%C3%B3n%20de%20proyectos%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50FF7-5721-45C7-BC88-95DD8F21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12</Pages>
  <Words>3768</Words>
  <Characters>20730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Jorge Horacio Rodriguez</cp:lastModifiedBy>
  <cp:revision>16</cp:revision>
  <cp:lastPrinted>2020-10-06T21:52:00Z</cp:lastPrinted>
  <dcterms:created xsi:type="dcterms:W3CDTF">2020-09-14T17:39:00Z</dcterms:created>
  <dcterms:modified xsi:type="dcterms:W3CDTF">2020-10-06T22:07:00Z</dcterms:modified>
</cp:coreProperties>
</file>